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0AE39">
      <w:pPr>
        <w:keepNext w:val="0"/>
        <w:keepLines w:val="0"/>
        <w:pageBreakBefore w:val="0"/>
        <w:kinsoku/>
        <w:wordWrap/>
        <w:overflowPunct/>
        <w:topLinePunct w:val="0"/>
        <w:autoSpaceDE/>
        <w:autoSpaceDN/>
        <w:bidi w:val="0"/>
        <w:spacing w:line="500" w:lineRule="exact"/>
        <w:ind w:firstLine="600"/>
        <w:jc w:val="center"/>
        <w:textAlignment w:val="auto"/>
        <w:rPr>
          <w:rFonts w:hint="eastAsia" w:ascii="黑体" w:hAnsi="黑体" w:eastAsia="黑体" w:cs="黑体"/>
          <w:sz w:val="32"/>
          <w:szCs w:val="32"/>
          <w:lang w:val="en-US" w:eastAsia="zh-CN"/>
        </w:rPr>
      </w:pPr>
    </w:p>
    <w:p w14:paraId="30BB5173">
      <w:pPr>
        <w:keepNext w:val="0"/>
        <w:keepLines w:val="0"/>
        <w:pageBreakBefore w:val="0"/>
        <w:kinsoku/>
        <w:wordWrap/>
        <w:overflowPunct/>
        <w:topLinePunct w:val="0"/>
        <w:autoSpaceDE/>
        <w:autoSpaceDN/>
        <w:bidi w:val="0"/>
        <w:spacing w:line="500" w:lineRule="exact"/>
        <w:ind w:firstLine="6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评审办法附表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834"/>
        <w:gridCol w:w="835"/>
        <w:gridCol w:w="1425"/>
        <w:gridCol w:w="4427"/>
      </w:tblGrid>
      <w:tr w14:paraId="040F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8" w:type="dxa"/>
            <w:noWrap w:val="0"/>
            <w:vAlign w:val="center"/>
          </w:tcPr>
          <w:p w14:paraId="6763AA7C">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669" w:type="dxa"/>
            <w:gridSpan w:val="2"/>
            <w:noWrap w:val="0"/>
            <w:vAlign w:val="center"/>
          </w:tcPr>
          <w:p w14:paraId="1326404E">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评审因素</w:t>
            </w:r>
          </w:p>
        </w:tc>
        <w:tc>
          <w:tcPr>
            <w:tcW w:w="1425" w:type="dxa"/>
            <w:noWrap w:val="0"/>
            <w:vAlign w:val="center"/>
          </w:tcPr>
          <w:p w14:paraId="7710D4D1">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分值（满分100分）</w:t>
            </w:r>
          </w:p>
        </w:tc>
        <w:tc>
          <w:tcPr>
            <w:tcW w:w="4427" w:type="dxa"/>
            <w:noWrap w:val="0"/>
            <w:vAlign w:val="center"/>
          </w:tcPr>
          <w:p w14:paraId="2D0994E2">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评审标准</w:t>
            </w:r>
          </w:p>
        </w:tc>
      </w:tr>
      <w:tr w14:paraId="219B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7D6ADF88">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w:t>
            </w:r>
          </w:p>
        </w:tc>
        <w:tc>
          <w:tcPr>
            <w:tcW w:w="1669" w:type="dxa"/>
            <w:gridSpan w:val="2"/>
            <w:noWrap w:val="0"/>
            <w:vAlign w:val="top"/>
          </w:tcPr>
          <w:p w14:paraId="4BAA3FBF">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报价得分</w:t>
            </w:r>
          </w:p>
        </w:tc>
        <w:tc>
          <w:tcPr>
            <w:tcW w:w="1425" w:type="dxa"/>
            <w:noWrap w:val="0"/>
            <w:vAlign w:val="top"/>
          </w:tcPr>
          <w:p w14:paraId="7F2C9956">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 xml:space="preserve">30 </w:t>
            </w:r>
          </w:p>
        </w:tc>
        <w:tc>
          <w:tcPr>
            <w:tcW w:w="4427" w:type="dxa"/>
            <w:noWrap w:val="0"/>
            <w:vAlign w:val="top"/>
          </w:tcPr>
          <w:p w14:paraId="03A97F9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以所有有效报价的算术平均数为评审基准价</w:t>
            </w:r>
            <w:r>
              <w:rPr>
                <w:rFonts w:hint="eastAsia" w:ascii="仿宋_GB2312" w:hAnsi="仿宋_GB2312" w:eastAsia="仿宋_GB2312" w:cs="仿宋_GB2312"/>
                <w:sz w:val="28"/>
                <w:szCs w:val="28"/>
                <w:lang w:val="en-US" w:eastAsia="zh-CN"/>
              </w:rPr>
              <w:t>【</w:t>
            </w:r>
            <w:r>
              <w:rPr>
                <w:rFonts w:hint="eastAsia" w:ascii="黑体" w:hAnsi="黑体" w:eastAsia="黑体" w:cs="黑体"/>
                <w:sz w:val="28"/>
                <w:szCs w:val="28"/>
                <w:lang w:val="en-US" w:eastAsia="zh-CN"/>
              </w:rPr>
              <w:t>有效报价超过5（不含）家时，去掉1个最高有效报价，去掉一个最低有效报价，然后进行算术平均</w:t>
            </w:r>
            <w:r>
              <w:rPr>
                <w:rFonts w:hint="eastAsia" w:ascii="仿宋_GB2312" w:hAnsi="仿宋_GB2312" w:eastAsia="仿宋_GB2312" w:cs="仿宋_GB2312"/>
                <w:sz w:val="28"/>
                <w:szCs w:val="28"/>
                <w:lang w:val="en-US" w:eastAsia="zh-CN"/>
              </w:rPr>
              <w:t>】</w:t>
            </w:r>
            <w:r>
              <w:rPr>
                <w:rFonts w:hint="eastAsia" w:ascii="黑体" w:hAnsi="黑体" w:eastAsia="黑体" w:cs="黑体"/>
                <w:sz w:val="28"/>
                <w:szCs w:val="28"/>
                <w:lang w:val="en-US" w:eastAsia="zh-CN"/>
              </w:rPr>
              <w:t>。</w:t>
            </w:r>
          </w:p>
          <w:p w14:paraId="3CBD80D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偏差率=(比选单位报价-评审基准价)/评审基准价×100%。</w:t>
            </w:r>
          </w:p>
          <w:p w14:paraId="681FC74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lang w:val="en-US" w:eastAsia="zh-CN"/>
              </w:rPr>
            </w:pPr>
            <w:r>
              <w:rPr>
                <w:rFonts w:hint="eastAsia" w:ascii="黑体" w:hAnsi="黑体" w:eastAsia="黑体" w:cs="黑体"/>
                <w:sz w:val="28"/>
                <w:szCs w:val="28"/>
                <w:lang w:val="en-US" w:eastAsia="zh-CN"/>
              </w:rPr>
              <w:t>报价等于评审基准价的得满分，每高于评审基准价1%（含），扣0.4分（E</w:t>
            </w:r>
            <w:r>
              <w:rPr>
                <w:rFonts w:hint="eastAsia" w:ascii="黑体" w:hAnsi="黑体" w:eastAsia="黑体" w:cs="黑体"/>
                <w:sz w:val="28"/>
                <w:szCs w:val="28"/>
                <w:vertAlign w:val="subscript"/>
                <w:lang w:val="en-US" w:eastAsia="zh-CN"/>
              </w:rPr>
              <w:t>1</w:t>
            </w:r>
            <w:r>
              <w:rPr>
                <w:rFonts w:hint="eastAsia" w:ascii="黑体" w:hAnsi="黑体" w:eastAsia="黑体" w:cs="黑体"/>
                <w:sz w:val="28"/>
                <w:szCs w:val="28"/>
                <w:lang w:val="en-US" w:eastAsia="zh-CN"/>
              </w:rPr>
              <w:t>）；每低于评审基准价1%（含），扣0.2分（E</w:t>
            </w:r>
            <w:r>
              <w:rPr>
                <w:rFonts w:hint="eastAsia" w:ascii="黑体" w:hAnsi="黑体" w:eastAsia="黑体" w:cs="黑体"/>
                <w:sz w:val="28"/>
                <w:szCs w:val="28"/>
                <w:vertAlign w:val="subscript"/>
                <w:lang w:val="en-US" w:eastAsia="zh-CN"/>
              </w:rPr>
              <w:t>2</w:t>
            </w:r>
            <w:r>
              <w:rPr>
                <w:rFonts w:hint="eastAsia" w:ascii="黑体" w:hAnsi="黑体" w:eastAsia="黑体" w:cs="黑体"/>
                <w:sz w:val="28"/>
                <w:szCs w:val="28"/>
                <w:lang w:val="en-US" w:eastAsia="zh-CN"/>
              </w:rPr>
              <w:t>）。</w:t>
            </w:r>
          </w:p>
          <w:p w14:paraId="1E211AD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lang w:val="en-US" w:eastAsia="zh-CN"/>
              </w:rPr>
            </w:pPr>
            <w:r>
              <w:rPr>
                <w:rFonts w:hint="eastAsia" w:ascii="黑体" w:hAnsi="黑体" w:eastAsia="黑体" w:cs="黑体"/>
                <w:sz w:val="28"/>
                <w:szCs w:val="28"/>
                <w:lang w:val="en-US" w:eastAsia="zh-CN"/>
              </w:rPr>
              <w:t>报价得分计算：</w:t>
            </w:r>
          </w:p>
          <w:p w14:paraId="28C3A1E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①报价＞评审基准价，则报价得分=报价分值-偏差率*100*E</w:t>
            </w:r>
            <w:r>
              <w:rPr>
                <w:rFonts w:hint="eastAsia" w:ascii="黑体" w:hAnsi="黑体" w:eastAsia="黑体" w:cs="黑体"/>
                <w:sz w:val="28"/>
                <w:szCs w:val="28"/>
                <w:vertAlign w:val="subscript"/>
                <w:lang w:val="en-US" w:eastAsia="zh-CN"/>
              </w:rPr>
              <w:t>1</w:t>
            </w:r>
            <w:r>
              <w:rPr>
                <w:rFonts w:hint="eastAsia" w:ascii="黑体" w:hAnsi="黑体" w:eastAsia="黑体" w:cs="黑体"/>
                <w:sz w:val="28"/>
                <w:szCs w:val="28"/>
                <w:vertAlign w:val="baseline"/>
                <w:lang w:val="en-US" w:eastAsia="zh-CN"/>
              </w:rPr>
              <w:t>；</w:t>
            </w:r>
          </w:p>
          <w:p w14:paraId="73A6115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②报价≤评审基准价，则报价得分=报价分值+偏差率*100*E</w:t>
            </w:r>
            <w:r>
              <w:rPr>
                <w:rFonts w:hint="eastAsia" w:ascii="黑体" w:hAnsi="黑体" w:eastAsia="黑体" w:cs="黑体"/>
                <w:sz w:val="28"/>
                <w:szCs w:val="28"/>
                <w:vertAlign w:val="subscript"/>
                <w:lang w:val="en-US" w:eastAsia="zh-CN"/>
              </w:rPr>
              <w:t>2</w:t>
            </w:r>
            <w:r>
              <w:rPr>
                <w:rFonts w:hint="eastAsia" w:ascii="黑体" w:hAnsi="黑体" w:eastAsia="黑体" w:cs="黑体"/>
                <w:sz w:val="28"/>
                <w:szCs w:val="28"/>
                <w:vertAlign w:val="baseline"/>
                <w:lang w:val="en-US" w:eastAsia="zh-CN"/>
              </w:rPr>
              <w:t>。</w:t>
            </w:r>
          </w:p>
          <w:p w14:paraId="0E421049">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得分值计算小数点后取两位有效，第三位四舍五入。</w:t>
            </w:r>
          </w:p>
          <w:p w14:paraId="772A2F68">
            <w:pPr>
              <w:keepNext w:val="0"/>
              <w:keepLines w:val="0"/>
              <w:pageBreakBefore w:val="0"/>
              <w:kinsoku/>
              <w:wordWrap/>
              <w:overflowPunct/>
              <w:topLinePunct w:val="0"/>
              <w:autoSpaceDE/>
              <w:autoSpaceDN/>
              <w:bidi w:val="0"/>
              <w:spacing w:line="500" w:lineRule="exact"/>
              <w:ind w:firstLine="600"/>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注：在评审过程中，评审小组发现参选单位的报价明显低于其他人的报价，可能低于成本价的，评审委员会应当要求该参选单位在规定时间内作出书面说明并提供相关证明材料。参选单位不能合理说明或者不能提供相关证明材料的，由评审委员会认定该参选单位以低于成本报价竞争，取消其竞争资格。</w:t>
            </w:r>
          </w:p>
        </w:tc>
      </w:tr>
      <w:tr w14:paraId="6961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restart"/>
            <w:noWrap w:val="0"/>
            <w:vAlign w:val="top"/>
          </w:tcPr>
          <w:p w14:paraId="372E4330">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w:t>
            </w:r>
          </w:p>
          <w:p w14:paraId="58C1FB15">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p>
        </w:tc>
        <w:tc>
          <w:tcPr>
            <w:tcW w:w="834" w:type="dxa"/>
            <w:vMerge w:val="restart"/>
            <w:noWrap w:val="0"/>
            <w:vAlign w:val="top"/>
          </w:tcPr>
          <w:p w14:paraId="24219F88">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资信得分</w:t>
            </w:r>
          </w:p>
          <w:p w14:paraId="2808D44D">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p>
        </w:tc>
        <w:tc>
          <w:tcPr>
            <w:tcW w:w="835" w:type="dxa"/>
            <w:noWrap w:val="0"/>
            <w:vAlign w:val="top"/>
          </w:tcPr>
          <w:p w14:paraId="43204A46">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业绩要求</w:t>
            </w:r>
          </w:p>
        </w:tc>
        <w:tc>
          <w:tcPr>
            <w:tcW w:w="1425" w:type="dxa"/>
            <w:noWrap w:val="0"/>
            <w:vAlign w:val="top"/>
          </w:tcPr>
          <w:p w14:paraId="0FA40FF9">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20</w:t>
            </w:r>
          </w:p>
        </w:tc>
        <w:tc>
          <w:tcPr>
            <w:tcW w:w="4427" w:type="dxa"/>
            <w:noWrap w:val="0"/>
            <w:vAlign w:val="top"/>
          </w:tcPr>
          <w:p w14:paraId="5C7F6FA4">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2023年3月18日（时间以合同签订时间为准）至今具有类似项目业绩，每提供一份合同业绩得5分，本项满分20分。</w:t>
            </w:r>
          </w:p>
          <w:p w14:paraId="4DB33513">
            <w:pPr>
              <w:keepNext w:val="0"/>
              <w:keepLines w:val="0"/>
              <w:pageBreakBefore w:val="0"/>
              <w:kinsoku/>
              <w:wordWrap/>
              <w:overflowPunct/>
              <w:topLinePunct w:val="0"/>
              <w:autoSpaceDE/>
              <w:autoSpaceDN/>
              <w:bidi w:val="0"/>
              <w:spacing w:line="500" w:lineRule="exact"/>
              <w:ind w:firstLine="600"/>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证明材料：须提供业绩合同复印件加盖公章，不提供不得分。</w:t>
            </w:r>
          </w:p>
        </w:tc>
      </w:tr>
      <w:tr w14:paraId="141E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continue"/>
            <w:noWrap w:val="0"/>
            <w:vAlign w:val="top"/>
          </w:tcPr>
          <w:p w14:paraId="1B96AB94">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p>
        </w:tc>
        <w:tc>
          <w:tcPr>
            <w:tcW w:w="834" w:type="dxa"/>
            <w:vMerge w:val="continue"/>
            <w:noWrap w:val="0"/>
            <w:vAlign w:val="top"/>
          </w:tcPr>
          <w:p w14:paraId="3FF3FF78">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p>
        </w:tc>
        <w:tc>
          <w:tcPr>
            <w:tcW w:w="835" w:type="dxa"/>
            <w:noWrap w:val="0"/>
            <w:vAlign w:val="top"/>
          </w:tcPr>
          <w:p w14:paraId="607033D9">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管理机构</w:t>
            </w:r>
          </w:p>
        </w:tc>
        <w:tc>
          <w:tcPr>
            <w:tcW w:w="1425" w:type="dxa"/>
            <w:noWrap w:val="0"/>
            <w:vAlign w:val="top"/>
          </w:tcPr>
          <w:p w14:paraId="75CF9ADC">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10</w:t>
            </w:r>
          </w:p>
        </w:tc>
        <w:tc>
          <w:tcPr>
            <w:tcW w:w="4427" w:type="dxa"/>
            <w:noWrap w:val="0"/>
            <w:vAlign w:val="top"/>
          </w:tcPr>
          <w:p w14:paraId="672FEB33">
            <w:pPr>
              <w:keepNext w:val="0"/>
              <w:keepLines w:val="0"/>
              <w:pageBreakBefore w:val="0"/>
              <w:kinsoku/>
              <w:wordWrap/>
              <w:overflowPunct/>
              <w:topLinePunct w:val="0"/>
              <w:autoSpaceDE/>
              <w:autoSpaceDN/>
              <w:bidi w:val="0"/>
              <w:spacing w:line="500" w:lineRule="exact"/>
              <w:ind w:left="0" w:leftChars="0" w:firstLine="0" w:firstLineChars="0"/>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val="en-US" w:eastAsia="zh-CN"/>
              </w:rPr>
              <w:t>配备项目经理1人，技术负责1人，施工员1人，安全员1人，质量员1 人，资料员1人，以上人员项目经理具备中级工程师及以上职称得  分，技术负责人具备中级工程师及以上职称得2分，其它人员具备相应岗位证的每个得2分，本项满分10分。</w:t>
            </w:r>
          </w:p>
          <w:p w14:paraId="0B218D4F">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证明材料：以上人员均需提供相应证件复印件加盖公章。</w:t>
            </w:r>
          </w:p>
        </w:tc>
      </w:tr>
      <w:tr w14:paraId="28EB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04BDF571">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w:t>
            </w:r>
          </w:p>
        </w:tc>
        <w:tc>
          <w:tcPr>
            <w:tcW w:w="1669" w:type="dxa"/>
            <w:gridSpan w:val="2"/>
            <w:noWrap w:val="0"/>
            <w:vAlign w:val="top"/>
          </w:tcPr>
          <w:p w14:paraId="00FDBF56">
            <w:pPr>
              <w:keepNext w:val="0"/>
              <w:keepLines w:val="0"/>
              <w:pageBreakBefore w:val="0"/>
              <w:kinsoku/>
              <w:wordWrap/>
              <w:overflowPunct/>
              <w:topLinePunct w:val="0"/>
              <w:autoSpaceDE/>
              <w:autoSpaceDN/>
              <w:bidi w:val="0"/>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方案得分</w:t>
            </w:r>
          </w:p>
        </w:tc>
        <w:tc>
          <w:tcPr>
            <w:tcW w:w="1425" w:type="dxa"/>
            <w:noWrap w:val="0"/>
            <w:vAlign w:val="top"/>
          </w:tcPr>
          <w:p w14:paraId="27F32342">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40</w:t>
            </w:r>
          </w:p>
        </w:tc>
        <w:tc>
          <w:tcPr>
            <w:tcW w:w="4427" w:type="dxa"/>
            <w:noWrap w:val="0"/>
            <w:vAlign w:val="top"/>
          </w:tcPr>
          <w:p w14:paraId="4601D2D5">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8"/>
                <w:szCs w:val="28"/>
                <w:lang w:val="en-US" w:eastAsia="zh-CN"/>
              </w:rPr>
              <w:t>施工组织设计需重点内容突出、有效，具有完整性、针对性、先进性；优秀得40-30（含）分，良好得30-20（含）分，一般得20-10（含）分，较差得10分以下。</w:t>
            </w:r>
          </w:p>
        </w:tc>
      </w:tr>
      <w:tr w14:paraId="75C4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064A7739">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4</w:t>
            </w:r>
          </w:p>
        </w:tc>
        <w:tc>
          <w:tcPr>
            <w:tcW w:w="1669" w:type="dxa"/>
            <w:gridSpan w:val="2"/>
            <w:noWrap w:val="0"/>
            <w:vAlign w:val="top"/>
          </w:tcPr>
          <w:p w14:paraId="0E867CDF">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w:t>
            </w:r>
          </w:p>
        </w:tc>
        <w:tc>
          <w:tcPr>
            <w:tcW w:w="1425" w:type="dxa"/>
            <w:noWrap w:val="0"/>
            <w:vAlign w:val="top"/>
          </w:tcPr>
          <w:p w14:paraId="4B5FEA1F">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w:t>
            </w:r>
          </w:p>
        </w:tc>
        <w:tc>
          <w:tcPr>
            <w:tcW w:w="4427" w:type="dxa"/>
            <w:noWrap w:val="0"/>
            <w:vAlign w:val="top"/>
          </w:tcPr>
          <w:p w14:paraId="365FBD81">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w:t>
            </w:r>
          </w:p>
        </w:tc>
      </w:tr>
      <w:tr w14:paraId="2B2A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1AE3828C">
            <w:pPr>
              <w:keepNext w:val="0"/>
              <w:keepLines w:val="0"/>
              <w:pageBreakBefore w:val="0"/>
              <w:kinsoku/>
              <w:wordWrap/>
              <w:overflowPunct/>
              <w:topLinePunct w:val="0"/>
              <w:autoSpaceDE/>
              <w:autoSpaceDN/>
              <w:bidi w:val="0"/>
              <w:spacing w:line="500" w:lineRule="exact"/>
              <w:jc w:val="center"/>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5</w:t>
            </w:r>
          </w:p>
        </w:tc>
        <w:tc>
          <w:tcPr>
            <w:tcW w:w="1669" w:type="dxa"/>
            <w:gridSpan w:val="2"/>
            <w:noWrap w:val="0"/>
            <w:vAlign w:val="top"/>
          </w:tcPr>
          <w:p w14:paraId="3CA6DDA6">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w:t>
            </w:r>
          </w:p>
        </w:tc>
        <w:tc>
          <w:tcPr>
            <w:tcW w:w="1425" w:type="dxa"/>
            <w:noWrap w:val="0"/>
            <w:vAlign w:val="top"/>
          </w:tcPr>
          <w:p w14:paraId="0AE3F919">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w:t>
            </w:r>
          </w:p>
        </w:tc>
        <w:tc>
          <w:tcPr>
            <w:tcW w:w="4427" w:type="dxa"/>
            <w:noWrap w:val="0"/>
            <w:vAlign w:val="top"/>
          </w:tcPr>
          <w:p w14:paraId="7035BEF5">
            <w:pPr>
              <w:keepNext w:val="0"/>
              <w:keepLines w:val="0"/>
              <w:pageBreakBefore w:val="0"/>
              <w:kinsoku/>
              <w:wordWrap/>
              <w:overflowPunct/>
              <w:topLinePunct w:val="0"/>
              <w:autoSpaceDE/>
              <w:autoSpaceDN/>
              <w:bidi w:val="0"/>
              <w:spacing w:line="500" w:lineRule="exac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w:t>
            </w:r>
          </w:p>
        </w:tc>
      </w:tr>
    </w:tbl>
    <w:p w14:paraId="18DC397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DE6687"/>
    <w:rsid w:val="0FE84814"/>
    <w:rsid w:val="32986439"/>
    <w:rsid w:val="3BBA6C57"/>
    <w:rsid w:val="51DE6687"/>
    <w:rsid w:val="5BDB01AE"/>
    <w:rsid w:val="77104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2025-05-27T03:03:00Z</dcterms:created>
  <dc:creator>梁彬</dc:creator>
  <cp:lastModifiedBy>梁彬</cp:lastModifiedBy>
  <dcterms:modified xsi:type="dcterms:W3CDTF">2025-05-27T03:04:24Z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44538260728D467CB2C61A5C4502A69D_11</vt:lpwstr>
  </property>
  <property fmtid="{D5CDD505-2E9C-101B-9397-08002B2CF9AE}" pid="4" name="KSOTemplateDocerSaveRecord">
    <vt:lpwstr>eyJoZGlkIjoiNWU5YjBjYTNkZjdiOTQ4ZTQ5MjEyYWVjZjlkNjBiNTEiLCJ1c2VySWQiOiIxNjczMDA2NTE5In0=</vt:lpwstr>
  </property>
</Properties>
</file>