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3D85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u w:val="none"/>
          <w:lang w:val="en-US" w:eastAsia="zh-CN"/>
        </w:rPr>
      </w:pPr>
    </w:p>
    <w:p w14:paraId="2BA0236A">
      <w:pPr>
        <w:keepNext w:val="0"/>
        <w:keepLines w:val="0"/>
        <w:pageBreakBefore w:val="0"/>
        <w:kinsoku/>
        <w:wordWrap/>
        <w:overflowPunct/>
        <w:topLinePunct w:val="0"/>
        <w:autoSpaceDE/>
        <w:autoSpaceDN/>
        <w:bidi w:val="0"/>
        <w:spacing w:line="500" w:lineRule="exact"/>
        <w:ind w:firstLine="600"/>
        <w:jc w:val="center"/>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评审办法附表</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34"/>
        <w:gridCol w:w="835"/>
        <w:gridCol w:w="1425"/>
        <w:gridCol w:w="4427"/>
      </w:tblGrid>
      <w:tr w14:paraId="6BAE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3ED249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669" w:type="dxa"/>
            <w:gridSpan w:val="2"/>
            <w:noWrap w:val="0"/>
            <w:vAlign w:val="center"/>
          </w:tcPr>
          <w:p w14:paraId="2C0E1F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评审因素</w:t>
            </w:r>
          </w:p>
        </w:tc>
        <w:tc>
          <w:tcPr>
            <w:tcW w:w="1425" w:type="dxa"/>
            <w:noWrap w:val="0"/>
            <w:vAlign w:val="center"/>
          </w:tcPr>
          <w:p w14:paraId="5DCC89A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分值（满分100分）</w:t>
            </w:r>
          </w:p>
        </w:tc>
        <w:tc>
          <w:tcPr>
            <w:tcW w:w="4427" w:type="dxa"/>
            <w:noWrap w:val="0"/>
            <w:vAlign w:val="center"/>
          </w:tcPr>
          <w:p w14:paraId="47897D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评审标准</w:t>
            </w:r>
          </w:p>
        </w:tc>
      </w:tr>
      <w:tr w14:paraId="5D7C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45D341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1669" w:type="dxa"/>
            <w:gridSpan w:val="2"/>
            <w:noWrap w:val="0"/>
            <w:vAlign w:val="top"/>
          </w:tcPr>
          <w:p w14:paraId="39F4128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报价得分</w:t>
            </w:r>
          </w:p>
        </w:tc>
        <w:tc>
          <w:tcPr>
            <w:tcW w:w="1425" w:type="dxa"/>
            <w:noWrap w:val="0"/>
            <w:vAlign w:val="top"/>
          </w:tcPr>
          <w:p w14:paraId="4D9CD3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 xml:space="preserve">20 </w:t>
            </w:r>
          </w:p>
        </w:tc>
        <w:tc>
          <w:tcPr>
            <w:tcW w:w="4427" w:type="dxa"/>
            <w:noWrap w:val="0"/>
            <w:vAlign w:val="top"/>
          </w:tcPr>
          <w:p w14:paraId="46BFFD92">
            <w:pPr>
              <w:spacing w:line="500" w:lineRule="exact"/>
              <w:jc w:val="left"/>
              <w:rPr>
                <w:rFonts w:hint="eastAsia" w:ascii="黑体" w:hAnsi="黑体" w:eastAsia="黑体" w:cs="黑体"/>
                <w:sz w:val="28"/>
                <w:szCs w:val="28"/>
              </w:rPr>
            </w:pPr>
            <w:r>
              <w:rPr>
                <w:rFonts w:hint="eastAsia" w:ascii="黑体" w:hAnsi="黑体" w:eastAsia="黑体" w:cs="黑体"/>
                <w:sz w:val="28"/>
                <w:szCs w:val="28"/>
              </w:rPr>
              <w:t>以所有有效报价的算术平均数为评审基准价</w:t>
            </w:r>
            <w:r>
              <w:rPr>
                <w:rFonts w:hint="eastAsia" w:ascii="仿宋_GB2312" w:hAnsi="仿宋_GB2312" w:eastAsia="仿宋_GB2312" w:cs="仿宋_GB2312"/>
                <w:sz w:val="28"/>
                <w:szCs w:val="28"/>
              </w:rPr>
              <w:t>【</w:t>
            </w:r>
            <w:r>
              <w:rPr>
                <w:rFonts w:hint="eastAsia" w:ascii="黑体" w:hAnsi="黑体" w:eastAsia="黑体" w:cs="黑体"/>
                <w:sz w:val="28"/>
                <w:szCs w:val="28"/>
              </w:rPr>
              <w:t>有效报价超过5（不含）家时，去掉1个最高有效报价，去掉一个最低有效报价，然后进行算术平均</w:t>
            </w:r>
            <w:r>
              <w:rPr>
                <w:rFonts w:hint="eastAsia" w:ascii="仿宋_GB2312" w:hAnsi="仿宋_GB2312" w:eastAsia="仿宋_GB2312" w:cs="仿宋_GB2312"/>
                <w:sz w:val="28"/>
                <w:szCs w:val="28"/>
              </w:rPr>
              <w:t>】</w:t>
            </w:r>
            <w:r>
              <w:rPr>
                <w:rFonts w:hint="eastAsia" w:ascii="黑体" w:hAnsi="黑体" w:eastAsia="黑体" w:cs="黑体"/>
                <w:sz w:val="28"/>
                <w:szCs w:val="28"/>
              </w:rPr>
              <w:t>。</w:t>
            </w:r>
          </w:p>
          <w:p w14:paraId="214C5615">
            <w:pPr>
              <w:spacing w:line="500" w:lineRule="exact"/>
              <w:jc w:val="left"/>
              <w:rPr>
                <w:rFonts w:hint="eastAsia" w:ascii="黑体" w:hAnsi="黑体" w:eastAsia="黑体" w:cs="黑体"/>
                <w:sz w:val="28"/>
                <w:szCs w:val="28"/>
              </w:rPr>
            </w:pPr>
            <w:r>
              <w:rPr>
                <w:rFonts w:hint="eastAsia" w:ascii="黑体" w:hAnsi="黑体" w:eastAsia="黑体" w:cs="黑体"/>
                <w:sz w:val="28"/>
                <w:szCs w:val="28"/>
              </w:rPr>
              <w:t>偏差率=(比选单位报价-评审基准价)/评审基准价×100%。</w:t>
            </w:r>
          </w:p>
          <w:p w14:paraId="71B2C0B6">
            <w:pPr>
              <w:spacing w:line="500" w:lineRule="exact"/>
              <w:jc w:val="left"/>
            </w:pPr>
            <w:r>
              <w:rPr>
                <w:rFonts w:hint="eastAsia" w:ascii="黑体" w:hAnsi="黑体" w:eastAsia="黑体" w:cs="黑体"/>
                <w:sz w:val="28"/>
                <w:szCs w:val="28"/>
              </w:rPr>
              <w:t>报价等于评审基准价的得满分，每高于评审基准价1%（含），扣0.2分（E</w:t>
            </w:r>
            <w:r>
              <w:rPr>
                <w:rFonts w:hint="eastAsia" w:ascii="黑体" w:hAnsi="黑体" w:eastAsia="黑体" w:cs="黑体"/>
                <w:sz w:val="28"/>
                <w:szCs w:val="28"/>
                <w:vertAlign w:val="subscript"/>
              </w:rPr>
              <w:t>1</w:t>
            </w:r>
            <w:r>
              <w:rPr>
                <w:rFonts w:hint="eastAsia" w:ascii="黑体" w:hAnsi="黑体" w:eastAsia="黑体" w:cs="黑体"/>
                <w:sz w:val="28"/>
                <w:szCs w:val="28"/>
              </w:rPr>
              <w:t>）；每低于评审基准价1%（含），扣0.1分（E</w:t>
            </w:r>
            <w:r>
              <w:rPr>
                <w:rFonts w:hint="eastAsia" w:ascii="黑体" w:hAnsi="黑体" w:eastAsia="黑体" w:cs="黑体"/>
                <w:sz w:val="28"/>
                <w:szCs w:val="28"/>
                <w:vertAlign w:val="subscript"/>
              </w:rPr>
              <w:t>2</w:t>
            </w:r>
            <w:r>
              <w:rPr>
                <w:rFonts w:hint="eastAsia" w:ascii="黑体" w:hAnsi="黑体" w:eastAsia="黑体" w:cs="黑体"/>
                <w:sz w:val="28"/>
                <w:szCs w:val="28"/>
              </w:rPr>
              <w:t>）。</w:t>
            </w:r>
          </w:p>
          <w:p w14:paraId="4F871E93">
            <w:pPr>
              <w:spacing w:line="500" w:lineRule="exact"/>
              <w:jc w:val="left"/>
            </w:pPr>
            <w:r>
              <w:rPr>
                <w:rFonts w:hint="eastAsia" w:ascii="黑体" w:hAnsi="黑体" w:eastAsia="黑体" w:cs="黑体"/>
                <w:sz w:val="28"/>
                <w:szCs w:val="28"/>
              </w:rPr>
              <w:t>报价得分计算：</w:t>
            </w:r>
          </w:p>
          <w:p w14:paraId="6AF54A12">
            <w:pPr>
              <w:spacing w:line="500" w:lineRule="exact"/>
              <w:jc w:val="left"/>
              <w:rPr>
                <w:rFonts w:hint="eastAsia" w:ascii="黑体" w:hAnsi="黑体" w:eastAsia="黑体" w:cs="黑体"/>
                <w:sz w:val="28"/>
                <w:szCs w:val="28"/>
              </w:rPr>
            </w:pPr>
            <w:r>
              <w:rPr>
                <w:rFonts w:hint="eastAsia" w:ascii="黑体" w:hAnsi="黑体" w:eastAsia="黑体" w:cs="黑体"/>
                <w:sz w:val="28"/>
                <w:szCs w:val="28"/>
              </w:rPr>
              <w:t>①报价＞评审基准价，则报价得分=报价分值-偏差率*100*E</w:t>
            </w:r>
            <w:r>
              <w:rPr>
                <w:rFonts w:hint="eastAsia" w:ascii="黑体" w:hAnsi="黑体" w:eastAsia="黑体" w:cs="黑体"/>
                <w:sz w:val="28"/>
                <w:szCs w:val="28"/>
                <w:vertAlign w:val="subscript"/>
              </w:rPr>
              <w:t>1</w:t>
            </w:r>
            <w:r>
              <w:rPr>
                <w:rFonts w:hint="eastAsia" w:ascii="黑体" w:hAnsi="黑体" w:eastAsia="黑体" w:cs="黑体"/>
                <w:sz w:val="28"/>
                <w:szCs w:val="28"/>
              </w:rPr>
              <w:t>；</w:t>
            </w:r>
          </w:p>
          <w:p w14:paraId="4F84C53A">
            <w:pPr>
              <w:spacing w:line="500" w:lineRule="exact"/>
              <w:jc w:val="left"/>
              <w:rPr>
                <w:rFonts w:hint="eastAsia" w:ascii="黑体" w:hAnsi="黑体" w:eastAsia="黑体" w:cs="黑体"/>
                <w:sz w:val="28"/>
                <w:szCs w:val="28"/>
              </w:rPr>
            </w:pPr>
            <w:r>
              <w:rPr>
                <w:rFonts w:hint="eastAsia" w:ascii="黑体" w:hAnsi="黑体" w:eastAsia="黑体" w:cs="黑体"/>
                <w:sz w:val="28"/>
                <w:szCs w:val="28"/>
              </w:rPr>
              <w:t>②报价≤评审基准价，则报价得分=报价分值+偏差率*100*E</w:t>
            </w:r>
            <w:r>
              <w:rPr>
                <w:rFonts w:hint="eastAsia" w:ascii="黑体" w:hAnsi="黑体" w:eastAsia="黑体" w:cs="黑体"/>
                <w:sz w:val="28"/>
                <w:szCs w:val="28"/>
                <w:vertAlign w:val="subscript"/>
              </w:rPr>
              <w:t>2</w:t>
            </w:r>
            <w:r>
              <w:rPr>
                <w:rFonts w:hint="eastAsia" w:ascii="黑体" w:hAnsi="黑体" w:eastAsia="黑体" w:cs="黑体"/>
                <w:sz w:val="28"/>
                <w:szCs w:val="28"/>
              </w:rPr>
              <w:t>。</w:t>
            </w:r>
          </w:p>
          <w:p w14:paraId="54F552D8">
            <w:pPr>
              <w:spacing w:line="500" w:lineRule="exact"/>
              <w:jc w:val="left"/>
              <w:rPr>
                <w:rFonts w:hint="eastAsia" w:ascii="黑体" w:hAnsi="黑体" w:eastAsia="黑体" w:cs="黑体"/>
                <w:sz w:val="28"/>
                <w:szCs w:val="28"/>
              </w:rPr>
            </w:pPr>
            <w:r>
              <w:rPr>
                <w:rFonts w:hint="eastAsia" w:ascii="黑体" w:hAnsi="黑体" w:eastAsia="黑体" w:cs="黑体"/>
                <w:sz w:val="28"/>
                <w:szCs w:val="28"/>
              </w:rPr>
              <w:t>得分值计算小数点后取两位有效，第三位四舍五入。</w:t>
            </w:r>
          </w:p>
          <w:p w14:paraId="7CB34DFF">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注：在评审过程中，评审小组发现参选单位的报价明显低于其他人的报价，可能低于成本价的，评审委员会应当要求该参选单位在规定时间内作出书面说明并提供相关证明材料。参选单位不能合理说明或者不能提供相关证明材料的，由评审委员会认定该参选单位以低于成本报价竞争，取消其竞争资格。</w:t>
            </w:r>
          </w:p>
        </w:tc>
      </w:tr>
      <w:tr w14:paraId="1B77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restart"/>
            <w:noWrap w:val="0"/>
            <w:vAlign w:val="top"/>
          </w:tcPr>
          <w:p w14:paraId="6D5BBAB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p w14:paraId="42E6700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restart"/>
            <w:noWrap w:val="0"/>
            <w:vAlign w:val="top"/>
          </w:tcPr>
          <w:p w14:paraId="4732DE9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资信得分</w:t>
            </w:r>
          </w:p>
          <w:p w14:paraId="45EDCE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p w14:paraId="2EEB1BF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5501E41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业绩要求</w:t>
            </w:r>
          </w:p>
        </w:tc>
        <w:tc>
          <w:tcPr>
            <w:tcW w:w="1425" w:type="dxa"/>
            <w:noWrap w:val="0"/>
            <w:vAlign w:val="top"/>
          </w:tcPr>
          <w:p w14:paraId="7D7282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30</w:t>
            </w:r>
          </w:p>
        </w:tc>
        <w:tc>
          <w:tcPr>
            <w:tcW w:w="4427" w:type="dxa"/>
            <w:noWrap w:val="0"/>
            <w:vAlign w:val="top"/>
          </w:tcPr>
          <w:p w14:paraId="5DDA730C">
            <w:pPr>
              <w:spacing w:line="500" w:lineRule="exact"/>
              <w:jc w:val="left"/>
              <w:rPr>
                <w:rFonts w:hint="eastAsia" w:ascii="黑体" w:hAnsi="黑体" w:eastAsia="黑体" w:cs="黑体"/>
                <w:sz w:val="28"/>
                <w:szCs w:val="28"/>
              </w:rPr>
            </w:pPr>
            <w:r>
              <w:rPr>
                <w:rFonts w:hint="eastAsia" w:ascii="黑体" w:hAnsi="黑体" w:eastAsia="黑体" w:cs="黑体"/>
                <w:color w:val="FF0000"/>
                <w:sz w:val="28"/>
                <w:szCs w:val="28"/>
              </w:rPr>
              <w:t xml:space="preserve"> </w:t>
            </w:r>
            <w:r>
              <w:rPr>
                <w:rFonts w:hint="eastAsia" w:ascii="黑体" w:hAnsi="黑体" w:eastAsia="黑体" w:cs="黑体"/>
                <w:color w:val="000000"/>
                <w:sz w:val="28"/>
                <w:szCs w:val="28"/>
              </w:rPr>
              <w:t>202</w:t>
            </w:r>
            <w:r>
              <w:rPr>
                <w:rFonts w:hint="eastAsia" w:ascii="黑体" w:hAnsi="黑体" w:eastAsia="黑体" w:cs="黑体"/>
                <w:color w:val="000000"/>
                <w:sz w:val="28"/>
                <w:szCs w:val="28"/>
                <w:lang w:val="en-US" w:eastAsia="zh-CN"/>
              </w:rPr>
              <w:t>2</w:t>
            </w:r>
            <w:r>
              <w:rPr>
                <w:rFonts w:hint="eastAsia" w:ascii="黑体" w:hAnsi="黑体" w:eastAsia="黑体" w:cs="黑体"/>
                <w:color w:val="000000"/>
                <w:sz w:val="28"/>
                <w:szCs w:val="28"/>
              </w:rPr>
              <w:t>年01月01日</w:t>
            </w:r>
            <w:r>
              <w:rPr>
                <w:rFonts w:hint="eastAsia" w:ascii="黑体" w:hAnsi="黑体" w:eastAsia="黑体" w:cs="黑体"/>
                <w:sz w:val="28"/>
                <w:szCs w:val="28"/>
              </w:rPr>
              <w:t>（时间以合同签订时间为准）至今具有</w:t>
            </w:r>
            <w:r>
              <w:rPr>
                <w:rFonts w:hint="eastAsia" w:ascii="黑体" w:hAnsi="黑体" w:eastAsia="黑体" w:cs="黑体"/>
                <w:sz w:val="28"/>
                <w:szCs w:val="28"/>
                <w:lang w:val="en-US" w:eastAsia="zh-CN"/>
              </w:rPr>
              <w:t>消防维修业绩的</w:t>
            </w:r>
            <w:r>
              <w:rPr>
                <w:rFonts w:hint="eastAsia" w:ascii="黑体" w:hAnsi="黑体" w:eastAsia="黑体" w:cs="黑体"/>
                <w:sz w:val="28"/>
                <w:szCs w:val="28"/>
              </w:rPr>
              <w:t>，每提供一份合同业绩得</w:t>
            </w:r>
            <w:r>
              <w:rPr>
                <w:rFonts w:hint="eastAsia" w:ascii="黑体" w:hAnsi="黑体" w:eastAsia="黑体" w:cs="黑体"/>
                <w:sz w:val="28"/>
                <w:szCs w:val="28"/>
                <w:lang w:val="en-US" w:eastAsia="zh-CN"/>
              </w:rPr>
              <w:t>10</w:t>
            </w:r>
            <w:r>
              <w:rPr>
                <w:rFonts w:hint="eastAsia" w:ascii="黑体" w:hAnsi="黑体" w:eastAsia="黑体" w:cs="黑体"/>
                <w:sz w:val="28"/>
                <w:szCs w:val="28"/>
              </w:rPr>
              <w:t>分，本项满分</w:t>
            </w:r>
            <w:r>
              <w:rPr>
                <w:rFonts w:hint="eastAsia" w:ascii="黑体" w:hAnsi="黑体" w:eastAsia="黑体" w:cs="黑体"/>
                <w:sz w:val="28"/>
                <w:szCs w:val="28"/>
                <w:lang w:val="en-US" w:eastAsia="zh-CN"/>
              </w:rPr>
              <w:t>3</w:t>
            </w:r>
            <w:r>
              <w:rPr>
                <w:rFonts w:hint="eastAsia" w:ascii="黑体" w:hAnsi="黑体" w:eastAsia="黑体" w:cs="黑体"/>
                <w:sz w:val="28"/>
                <w:szCs w:val="28"/>
              </w:rPr>
              <w:t>0分。</w:t>
            </w:r>
          </w:p>
          <w:p w14:paraId="462F10F1">
            <w:pPr>
              <w:keepNext w:val="0"/>
              <w:keepLines w:val="0"/>
              <w:pageBreakBefore w:val="0"/>
              <w:widowControl w:val="0"/>
              <w:kinsoku/>
              <w:wordWrap/>
              <w:overflowPunct/>
              <w:topLinePunct w:val="0"/>
              <w:autoSpaceDE/>
              <w:autoSpaceDN/>
              <w:bidi w:val="0"/>
              <w:adjustRightInd/>
              <w:snapToGrid/>
              <w:spacing w:line="500" w:lineRule="exact"/>
              <w:ind w:firstLine="600"/>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rPr>
              <w:t>证明材料：须提供业绩合同复印件加盖公章，不提供不得分。</w:t>
            </w:r>
          </w:p>
        </w:tc>
      </w:tr>
      <w:tr w14:paraId="2F5A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vMerge w:val="continue"/>
            <w:noWrap w:val="0"/>
            <w:vAlign w:val="top"/>
          </w:tcPr>
          <w:p w14:paraId="35E3BD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4" w:type="dxa"/>
            <w:vMerge w:val="continue"/>
            <w:noWrap w:val="0"/>
            <w:vAlign w:val="top"/>
          </w:tcPr>
          <w:p w14:paraId="7B4685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835" w:type="dxa"/>
            <w:noWrap w:val="0"/>
            <w:vAlign w:val="top"/>
          </w:tcPr>
          <w:p w14:paraId="1905138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管理机构</w:t>
            </w:r>
          </w:p>
        </w:tc>
        <w:tc>
          <w:tcPr>
            <w:tcW w:w="1425" w:type="dxa"/>
            <w:noWrap w:val="0"/>
            <w:vAlign w:val="top"/>
          </w:tcPr>
          <w:p w14:paraId="650280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10</w:t>
            </w:r>
          </w:p>
        </w:tc>
        <w:tc>
          <w:tcPr>
            <w:tcW w:w="4427" w:type="dxa"/>
            <w:noWrap w:val="0"/>
            <w:vAlign w:val="top"/>
          </w:tcPr>
          <w:p w14:paraId="20E61C66">
            <w:pPr>
              <w:numPr>
                <w:ilvl w:val="0"/>
                <w:numId w:val="1"/>
              </w:numPr>
              <w:spacing w:line="500" w:lineRule="exact"/>
              <w:jc w:val="left"/>
              <w:rPr>
                <w:rFonts w:hint="eastAsia" w:ascii="黑体" w:hAnsi="黑体" w:eastAsia="黑体" w:cs="黑体"/>
                <w:color w:val="000000"/>
                <w:sz w:val="28"/>
                <w:szCs w:val="28"/>
                <w:u w:val="none"/>
                <w:lang w:val="en-US" w:eastAsia="zh-CN"/>
              </w:rPr>
            </w:pPr>
            <w:r>
              <w:rPr>
                <w:rFonts w:hint="eastAsia" w:ascii="黑体" w:hAnsi="黑体" w:eastAsia="黑体" w:cs="黑体"/>
                <w:color w:val="000000"/>
                <w:sz w:val="28"/>
                <w:szCs w:val="28"/>
                <w:lang w:val="en-US" w:eastAsia="zh-CN"/>
              </w:rPr>
              <w:t>项目负责人具备高级及以上专业技术职称及10年以上（不含10年）工作经验的，得7分；具备中级专业技术职称的，得4分</w:t>
            </w:r>
            <w:r>
              <w:rPr>
                <w:rFonts w:hint="eastAsia" w:ascii="黑体" w:hAnsi="黑体" w:eastAsia="黑体" w:cs="黑体"/>
                <w:color w:val="000000"/>
                <w:sz w:val="28"/>
                <w:szCs w:val="28"/>
                <w:u w:val="none"/>
                <w:lang w:val="en-US" w:eastAsia="zh-CN"/>
              </w:rPr>
              <w:t>。工作经验按毕业证颁发时间起算，本项满分7分。</w:t>
            </w:r>
          </w:p>
          <w:p w14:paraId="5C9D3CC3">
            <w:pPr>
              <w:numPr>
                <w:ilvl w:val="0"/>
                <w:numId w:val="1"/>
              </w:numPr>
              <w:spacing w:line="500" w:lineRule="exact"/>
              <w:ind w:left="0" w:leftChars="0" w:firstLine="0" w:firstLineChars="0"/>
              <w:jc w:val="left"/>
              <w:rPr>
                <w:rFonts w:hint="eastAsia" w:ascii="黑体" w:hAnsi="黑体" w:eastAsia="黑体" w:cs="黑体"/>
                <w:color w:val="000000"/>
                <w:sz w:val="28"/>
                <w:szCs w:val="28"/>
              </w:rPr>
            </w:pPr>
            <w:r>
              <w:rPr>
                <w:rFonts w:hint="eastAsia" w:ascii="黑体" w:hAnsi="黑体" w:eastAsia="黑体" w:cs="黑体"/>
                <w:color w:val="000000"/>
                <w:sz w:val="28"/>
                <w:szCs w:val="28"/>
              </w:rPr>
              <w:t>拟投入项目组人员（除项目负责人外）具有</w:t>
            </w:r>
            <w:r>
              <w:rPr>
                <w:rFonts w:hint="eastAsia" w:ascii="黑体" w:hAnsi="黑体" w:eastAsia="黑体" w:cs="黑体"/>
                <w:color w:val="000000"/>
                <w:sz w:val="28"/>
                <w:szCs w:val="28"/>
                <w:lang w:val="en-US" w:eastAsia="zh-CN"/>
              </w:rPr>
              <w:t>5年以上（不含5年）工作经验的，每有1人得1分。</w:t>
            </w:r>
            <w:r>
              <w:rPr>
                <w:rFonts w:hint="eastAsia" w:ascii="黑体" w:hAnsi="黑体" w:eastAsia="黑体" w:cs="黑体"/>
                <w:color w:val="000000"/>
                <w:sz w:val="28"/>
                <w:szCs w:val="28"/>
                <w:u w:val="none"/>
                <w:lang w:val="en-US" w:eastAsia="zh-CN"/>
              </w:rPr>
              <w:t>工作经验按毕业证颁发时间起算，</w:t>
            </w:r>
            <w:r>
              <w:rPr>
                <w:rFonts w:hint="eastAsia" w:ascii="黑体" w:hAnsi="黑体" w:eastAsia="黑体" w:cs="黑体"/>
                <w:color w:val="000000"/>
                <w:sz w:val="28"/>
                <w:szCs w:val="28"/>
                <w:lang w:val="en-US" w:eastAsia="zh-CN"/>
              </w:rPr>
              <w:t>本项</w:t>
            </w:r>
            <w:r>
              <w:rPr>
                <w:rFonts w:hint="eastAsia" w:ascii="黑体" w:hAnsi="黑体" w:eastAsia="黑体" w:cs="黑体"/>
                <w:color w:val="000000"/>
                <w:sz w:val="28"/>
                <w:szCs w:val="28"/>
              </w:rPr>
              <w:t>满分</w:t>
            </w:r>
            <w:r>
              <w:rPr>
                <w:rFonts w:hint="eastAsia" w:ascii="黑体" w:hAnsi="黑体" w:eastAsia="黑体" w:cs="黑体"/>
                <w:color w:val="000000"/>
                <w:sz w:val="28"/>
                <w:szCs w:val="28"/>
                <w:lang w:val="en-US" w:eastAsia="zh-CN"/>
              </w:rPr>
              <w:t>3</w:t>
            </w:r>
            <w:r>
              <w:rPr>
                <w:rFonts w:hint="eastAsia" w:ascii="黑体" w:hAnsi="黑体" w:eastAsia="黑体" w:cs="黑体"/>
                <w:color w:val="000000"/>
                <w:sz w:val="28"/>
                <w:szCs w:val="28"/>
              </w:rPr>
              <w:t>分</w:t>
            </w:r>
            <w:r>
              <w:rPr>
                <w:rFonts w:hint="eastAsia" w:ascii="黑体" w:hAnsi="黑体" w:eastAsia="黑体" w:cs="黑体"/>
                <w:color w:val="000000"/>
                <w:sz w:val="28"/>
                <w:szCs w:val="28"/>
                <w:lang w:eastAsia="zh-CN"/>
              </w:rPr>
              <w:t>。</w:t>
            </w:r>
          </w:p>
          <w:p w14:paraId="7A26F1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lang w:val="en-US" w:eastAsia="zh-CN"/>
              </w:rPr>
              <w:t>证明材料：以上人员均需提供相应证件复印件及</w:t>
            </w:r>
            <w:r>
              <w:rPr>
                <w:rFonts w:hint="eastAsia" w:ascii="黑体" w:hAnsi="黑体" w:eastAsia="黑体" w:cs="黑体"/>
                <w:color w:val="000000"/>
                <w:sz w:val="28"/>
                <w:szCs w:val="28"/>
                <w:lang w:val="en-US" w:eastAsia="zh-CN"/>
              </w:rPr>
              <w:t>2024年10月-2025年6月任意连续三个月社保证明并加盖公章，不提供不得分</w:t>
            </w:r>
            <w:r>
              <w:rPr>
                <w:rFonts w:hint="eastAsia" w:ascii="黑体" w:hAnsi="黑体" w:eastAsia="黑体" w:cs="黑体"/>
                <w:sz w:val="28"/>
                <w:szCs w:val="28"/>
                <w:lang w:val="en-US" w:eastAsia="zh-CN"/>
              </w:rPr>
              <w:t>。</w:t>
            </w:r>
          </w:p>
        </w:tc>
      </w:tr>
      <w:tr w14:paraId="7D74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286F96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1669" w:type="dxa"/>
            <w:gridSpan w:val="2"/>
            <w:noWrap w:val="0"/>
            <w:vAlign w:val="top"/>
          </w:tcPr>
          <w:p w14:paraId="26F76DA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工作方案</w:t>
            </w:r>
          </w:p>
        </w:tc>
        <w:tc>
          <w:tcPr>
            <w:tcW w:w="1425" w:type="dxa"/>
            <w:noWrap w:val="0"/>
            <w:vAlign w:val="top"/>
          </w:tcPr>
          <w:p w14:paraId="5DA9674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40</w:t>
            </w:r>
          </w:p>
        </w:tc>
        <w:tc>
          <w:tcPr>
            <w:tcW w:w="4427" w:type="dxa"/>
            <w:noWrap w:val="0"/>
            <w:vAlign w:val="top"/>
          </w:tcPr>
          <w:p w14:paraId="2A6D1878">
            <w:pPr>
              <w:pStyle w:val="2"/>
              <w:numPr>
                <w:ilvl w:val="0"/>
                <w:numId w:val="0"/>
              </w:numPr>
              <w:ind w:leftChars="0"/>
              <w:rPr>
                <w:rFonts w:hint="default"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针对本项目特点，述标时间，不超过10分钟：</w:t>
            </w:r>
          </w:p>
          <w:p w14:paraId="103DD65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000000"/>
                <w:sz w:val="28"/>
                <w:szCs w:val="28"/>
                <w:lang w:val="en-US" w:eastAsia="zh-CN"/>
              </w:rPr>
              <w:t>维修方案概述，包括但不限于：维修所用材料，施工工艺，质保时间等。</w:t>
            </w:r>
          </w:p>
        </w:tc>
      </w:tr>
      <w:tr w14:paraId="07B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top"/>
          </w:tcPr>
          <w:p w14:paraId="102D0D1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1669" w:type="dxa"/>
            <w:gridSpan w:val="2"/>
            <w:noWrap w:val="0"/>
            <w:vAlign w:val="top"/>
          </w:tcPr>
          <w:p w14:paraId="2D38EE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1425" w:type="dxa"/>
            <w:noWrap w:val="0"/>
            <w:vAlign w:val="top"/>
          </w:tcPr>
          <w:p w14:paraId="76254E6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c>
          <w:tcPr>
            <w:tcW w:w="4427" w:type="dxa"/>
            <w:noWrap w:val="0"/>
            <w:vAlign w:val="top"/>
          </w:tcPr>
          <w:p w14:paraId="74E09D0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vertAlign w:val="baseline"/>
                <w:lang w:val="en-US" w:eastAsia="zh-CN"/>
              </w:rPr>
            </w:pPr>
          </w:p>
        </w:tc>
      </w:tr>
    </w:tbl>
    <w:p w14:paraId="0BAEA2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B523A"/>
    <w:multiLevelType w:val="singleLevel"/>
    <w:tmpl w:val="EB9B523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A6220"/>
    <w:rsid w:val="141A6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2025-06-21T03:34:00Z</dcterms:created>
  <dc:creator>田蕴玉</dc:creator>
  <cp:lastModifiedBy>田蕴玉</cp:lastModifiedBy>
  <dcterms:modified xsi:type="dcterms:W3CDTF">2025-06-21T03:35:00Z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38F8A4FB3A244C05AB62D9C477482A11_11</vt:lpwstr>
  </property>
  <property fmtid="{D5CDD505-2E9C-101B-9397-08002B2CF9AE}" pid="4" name="KSOTemplateDocerSaveRecord">
    <vt:lpwstr>eyJoZGlkIjoiYTc2ZGZiNzZiNDVlOGViOWVmM2JhOTY0NGJkNjUyYzgiLCJ1c2VySWQiOiI0NTM4MzMzNjMifQ==</vt:lpwstr>
  </property>
</Properties>
</file>