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2E63">
      <w:pPr>
        <w:adjustRightInd w:val="0"/>
        <w:snapToGrid w:val="0"/>
        <w:spacing w:line="360" w:lineRule="auto"/>
        <w:jc w:val="center"/>
        <w:rPr>
          <w:rFonts w:hint="eastAsia" w:ascii="黑体" w:hAnsi="黑体" w:eastAsia="黑体" w:cs="黑体"/>
          <w:sz w:val="36"/>
          <w:szCs w:val="36"/>
        </w:rPr>
      </w:pPr>
      <w:r>
        <w:rPr>
          <w:rFonts w:hint="eastAsia" w:ascii="黑体" w:hAnsi="黑体" w:eastAsia="黑体" w:cs="黑体"/>
          <w:sz w:val="36"/>
          <w:szCs w:val="36"/>
        </w:rPr>
        <w:t>海口市财政支出项目绩效自评报告（</w:t>
      </w:r>
      <w:r>
        <w:rPr>
          <w:rFonts w:hint="eastAsia" w:ascii="黑体" w:hAnsi="黑体" w:eastAsia="黑体" w:cs="黑体"/>
          <w:sz w:val="36"/>
          <w:szCs w:val="36"/>
          <w:u w:val="single"/>
          <w:lang w:eastAsia="zh-CN"/>
        </w:rPr>
        <w:t>美安科技新城物流园配套基础设施项目</w:t>
      </w:r>
      <w:r>
        <w:rPr>
          <w:rFonts w:hint="eastAsia" w:ascii="黑体" w:hAnsi="黑体" w:eastAsia="黑体" w:cs="黑体"/>
          <w:sz w:val="36"/>
          <w:szCs w:val="36"/>
        </w:rPr>
        <w:t>）</w:t>
      </w:r>
    </w:p>
    <w:p w14:paraId="57274715">
      <w:pPr>
        <w:pStyle w:val="2"/>
        <w:numPr>
          <w:ilvl w:val="0"/>
          <w:numId w:val="1"/>
        </w:numPr>
        <w:bidi w:val="0"/>
        <w:rPr>
          <w:rFonts w:hint="eastAsia"/>
        </w:rPr>
      </w:pPr>
      <w:r>
        <w:t>项目概况</w:t>
      </w:r>
    </w:p>
    <w:p w14:paraId="18DED689">
      <w:pPr>
        <w:pStyle w:val="3"/>
        <w:numPr>
          <w:ilvl w:val="0"/>
          <w:numId w:val="2"/>
        </w:numPr>
        <w:bidi w:val="0"/>
        <w:rPr>
          <w:rFonts w:hint="eastAsia"/>
        </w:rPr>
      </w:pPr>
      <w:r>
        <w:t>项目基本情况：</w:t>
      </w:r>
    </w:p>
    <w:p w14:paraId="37D8FA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1.项目主要内容：</w:t>
      </w:r>
      <w:r>
        <w:rPr>
          <w:rFonts w:hint="eastAsia" w:ascii="仿宋" w:hAnsi="仿宋" w:eastAsia="仿宋" w:cs="仿宋"/>
          <w:sz w:val="32"/>
          <w:szCs w:val="32"/>
          <w:u w:val="single"/>
        </w:rPr>
        <w:t>根据该项目初步设计方案，计划新建3条市政道路，道路总长3067.649m，其中：美平一街长1090.896m，红线宽度28m，规划定位为城市次干路；美平二街东段长958.446m，红线宽度24m，规划定位为城市支路；新海二纵路南段长1018.307m，红线宽度28m，规划定位为城市次干路。主要建设内容包括：道路工程、涵洞工程、交通工程、给排水工程、电力管沟工程、照明工程、绿化工程、绿化灌溉工程等。</w:t>
      </w:r>
    </w:p>
    <w:p w14:paraId="1A0CB5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2.资金：2024年</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预算经费为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万元，资金来源为</w:t>
      </w:r>
      <w:r>
        <w:rPr>
          <w:rFonts w:hint="eastAsia" w:ascii="仿宋" w:hAnsi="仿宋" w:eastAsia="仿宋" w:cs="仿宋"/>
          <w:sz w:val="32"/>
          <w:szCs w:val="32"/>
          <w:u w:val="single"/>
        </w:rPr>
        <w:t>专项债资金3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00万元</w:t>
      </w:r>
      <w:r>
        <w:rPr>
          <w:rFonts w:hint="eastAsia" w:ascii="仿宋" w:hAnsi="仿宋" w:eastAsia="仿宋" w:cs="仿宋"/>
          <w:sz w:val="32"/>
          <w:szCs w:val="32"/>
        </w:rPr>
        <w:t>，2024年支付</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749B60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预算单位</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(行政主管部门)的</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w:t>
      </w:r>
    </w:p>
    <w:p w14:paraId="07D555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主管部门为</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w:t>
      </w:r>
    </w:p>
    <w:p w14:paraId="1E2D9A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项目业主为</w:t>
      </w:r>
      <w:r>
        <w:rPr>
          <w:rFonts w:hint="eastAsia" w:ascii="仿宋" w:hAnsi="仿宋" w:eastAsia="仿宋" w:cs="仿宋"/>
          <w:sz w:val="32"/>
          <w:szCs w:val="32"/>
          <w:u w:val="single"/>
        </w:rPr>
        <w:t>海口佳和项目管理有限公司</w:t>
      </w:r>
    </w:p>
    <w:p w14:paraId="4D8D91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项目概述如下：保障经费的支出，保障项目正常开展建设。</w:t>
      </w:r>
    </w:p>
    <w:p w14:paraId="4B21DF58">
      <w:pPr>
        <w:pStyle w:val="3"/>
        <w:numPr>
          <w:ilvl w:val="0"/>
          <w:numId w:val="2"/>
        </w:numPr>
        <w:bidi w:val="0"/>
        <w:rPr>
          <w:rFonts w:hint="eastAsia"/>
        </w:rPr>
      </w:pPr>
      <w:r>
        <w:rPr>
          <w:rFonts w:hint="eastAsia"/>
        </w:rPr>
        <w:t>项目年度预算绩效目标和绩效指标设定情况</w:t>
      </w:r>
    </w:p>
    <w:p w14:paraId="6D8209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总体目标：完成项目</w:t>
      </w:r>
      <w:r>
        <w:rPr>
          <w:rFonts w:hint="eastAsia" w:ascii="仿宋" w:hAnsi="仿宋" w:eastAsia="仿宋" w:cs="仿宋"/>
          <w:sz w:val="32"/>
          <w:szCs w:val="32"/>
          <w:lang w:val="en-US" w:eastAsia="zh-CN"/>
        </w:rPr>
        <w:t>计划</w:t>
      </w:r>
      <w:r>
        <w:rPr>
          <w:rFonts w:hint="eastAsia" w:ascii="仿宋" w:hAnsi="仿宋" w:eastAsia="仿宋" w:cs="仿宋"/>
          <w:sz w:val="32"/>
          <w:szCs w:val="32"/>
        </w:rPr>
        <w:t>建设总量100%。</w:t>
      </w:r>
    </w:p>
    <w:p w14:paraId="30BF38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当年年度目标完成情况：2024年预算价为</w:t>
      </w:r>
      <w:r>
        <w:rPr>
          <w:rFonts w:hint="eastAsia" w:ascii="仿宋" w:hAnsi="仿宋" w:eastAsia="仿宋" w:cs="仿宋"/>
          <w:sz w:val="32"/>
          <w:szCs w:val="32"/>
          <w:highlight w:val="none"/>
          <w:u w:val="single"/>
        </w:rPr>
        <w:t>3</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00</w:t>
      </w:r>
      <w:r>
        <w:rPr>
          <w:rFonts w:hint="eastAsia" w:ascii="仿宋" w:hAnsi="仿宋" w:eastAsia="仿宋" w:cs="仿宋"/>
          <w:sz w:val="32"/>
          <w:szCs w:val="32"/>
          <w:highlight w:val="none"/>
        </w:rPr>
        <w:t>万元，2024年完成支付</w:t>
      </w:r>
      <w:r>
        <w:rPr>
          <w:rFonts w:hint="eastAsia" w:ascii="仿宋" w:hAnsi="仿宋" w:eastAsia="仿宋" w:cs="仿宋"/>
          <w:sz w:val="32"/>
          <w:szCs w:val="32"/>
          <w:highlight w:val="none"/>
          <w:u w:val="single"/>
        </w:rPr>
        <w:t>3</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00</w:t>
      </w:r>
      <w:r>
        <w:rPr>
          <w:rFonts w:hint="eastAsia" w:ascii="仿宋" w:hAnsi="仿宋" w:eastAsia="仿宋" w:cs="仿宋"/>
          <w:sz w:val="32"/>
          <w:szCs w:val="32"/>
          <w:highlight w:val="none"/>
        </w:rPr>
        <w:t>万元。</w:t>
      </w:r>
    </w:p>
    <w:p w14:paraId="526F6B46">
      <w:pPr>
        <w:pStyle w:val="2"/>
        <w:numPr>
          <w:ilvl w:val="0"/>
          <w:numId w:val="1"/>
        </w:numPr>
        <w:bidi w:val="0"/>
        <w:rPr>
          <w:rFonts w:hint="eastAsia"/>
        </w:rPr>
      </w:pPr>
      <w:r>
        <w:rPr>
          <w:rFonts w:hint="eastAsia"/>
        </w:rPr>
        <w:t>项目决策及资金使用管理情况</w:t>
      </w:r>
    </w:p>
    <w:p w14:paraId="177339B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项目决策情况：2024年</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列入部门预算经费为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万元，2024年实际支付</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3A7A00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项目资金安排落实、总投入等情况：2024年</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资金</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万元列入2024年部门预算，2024年已完成支付</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万元。预算情况如下：2024年度</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部门预算，预算金额为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757D210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项目资金（主要是指财政资金）实际使用情况资金执行情况如下：2024年</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列入部门预算经费为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万元，实际支付</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5C689C4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项目资金管理情况：2024年度</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由项目业主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192BA453">
      <w:pPr>
        <w:pStyle w:val="2"/>
        <w:numPr>
          <w:ilvl w:val="0"/>
          <w:numId w:val="1"/>
        </w:numPr>
        <w:bidi w:val="0"/>
        <w:rPr>
          <w:rFonts w:hint="eastAsia"/>
        </w:rPr>
      </w:pPr>
      <w:r>
        <w:rPr>
          <w:rFonts w:hint="eastAsia"/>
        </w:rPr>
        <w:t>项目组织实施情况</w:t>
      </w:r>
    </w:p>
    <w:p w14:paraId="3A4BBFDF">
      <w:pPr>
        <w:pStyle w:val="3"/>
        <w:bidi w:val="0"/>
        <w:rPr>
          <w:rFonts w:hint="eastAsia"/>
        </w:rPr>
      </w:pPr>
      <w:r>
        <w:rPr>
          <w:rFonts w:hint="eastAsia"/>
        </w:rPr>
        <w:t>（一）项目组织情况</w:t>
      </w:r>
    </w:p>
    <w:p w14:paraId="070C9E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通过确定项目业主，由项目业主负责项目建设。项目业主按照相关规定开展建设管理工作。</w:t>
      </w:r>
    </w:p>
    <w:p w14:paraId="0A3A1743">
      <w:pPr>
        <w:pStyle w:val="3"/>
        <w:bidi w:val="0"/>
        <w:rPr>
          <w:rFonts w:hint="eastAsia"/>
        </w:rPr>
      </w:pPr>
      <w:r>
        <w:rPr>
          <w:rFonts w:hint="eastAsia"/>
        </w:rPr>
        <w:t>（二）项目管理情况</w:t>
      </w:r>
    </w:p>
    <w:p w14:paraId="719B10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项目业主按照相关规定，按时、按质、按量完成项目监督考评工作。</w:t>
      </w:r>
    </w:p>
    <w:p w14:paraId="3CADF0D7">
      <w:pPr>
        <w:pStyle w:val="2"/>
        <w:numPr>
          <w:ilvl w:val="0"/>
          <w:numId w:val="1"/>
        </w:numPr>
        <w:bidi w:val="0"/>
        <w:rPr>
          <w:rFonts w:hint="eastAsia"/>
        </w:rPr>
      </w:pPr>
      <w:r>
        <w:rPr>
          <w:rFonts w:hint="eastAsia"/>
        </w:rPr>
        <w:t>项目绩效情况</w:t>
      </w:r>
    </w:p>
    <w:p w14:paraId="77FD37D3">
      <w:pPr>
        <w:pStyle w:val="3"/>
        <w:numPr>
          <w:ilvl w:val="0"/>
          <w:numId w:val="4"/>
        </w:numPr>
        <w:bidi w:val="0"/>
        <w:rPr>
          <w:rFonts w:hint="eastAsia"/>
        </w:rPr>
      </w:pPr>
      <w:r>
        <w:rPr>
          <w:rFonts w:hint="eastAsia"/>
        </w:rPr>
        <w:t>项目绩效目标完成情况分析</w:t>
      </w:r>
    </w:p>
    <w:p w14:paraId="4853A40B">
      <w:pPr>
        <w:pStyle w:val="4"/>
        <w:bidi w:val="0"/>
        <w:rPr>
          <w:rFonts w:hint="eastAsia"/>
        </w:rPr>
      </w:pPr>
      <w:r>
        <w:rPr>
          <w:rFonts w:hint="eastAsia"/>
        </w:rPr>
        <w:t>1.项目的经济性分析</w:t>
      </w:r>
    </w:p>
    <w:p w14:paraId="4BC926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项目成本（预算）控制情况：</w:t>
      </w:r>
    </w:p>
    <w:p w14:paraId="7EDF29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资金列入2024年度部门预算</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万元，实际到位资金</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万元，截至2024年12月31日，项目共支出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万元。项目支出在预算的范围内。</w:t>
      </w:r>
    </w:p>
    <w:p w14:paraId="52545A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项目成本（预算）节约情况：2024年</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列入2024年部门经费预算</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万元，实际到位资金</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万元，支出</w:t>
      </w:r>
      <w:r>
        <w:rPr>
          <w:rFonts w:hint="eastAsia" w:ascii="仿宋" w:hAnsi="仿宋" w:eastAsia="仿宋" w:cs="仿宋"/>
          <w:sz w:val="32"/>
          <w:szCs w:val="32"/>
          <w:u w:val="single"/>
        </w:rPr>
        <w:t>3</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00</w:t>
      </w:r>
      <w:r>
        <w:rPr>
          <w:rFonts w:hint="eastAsia" w:ascii="仿宋" w:hAnsi="仿宋" w:eastAsia="仿宋" w:cs="仿宋"/>
          <w:sz w:val="32"/>
          <w:szCs w:val="32"/>
        </w:rPr>
        <w:t>万元。</w:t>
      </w:r>
    </w:p>
    <w:p w14:paraId="091AC1F5">
      <w:pPr>
        <w:pStyle w:val="4"/>
        <w:bidi w:val="0"/>
        <w:rPr>
          <w:rFonts w:hint="eastAsia"/>
        </w:rPr>
      </w:pPr>
      <w:r>
        <w:rPr>
          <w:rFonts w:hint="eastAsia"/>
        </w:rPr>
        <w:t>2.项目的效率性分析</w:t>
      </w:r>
    </w:p>
    <w:p w14:paraId="628F7B4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项目的实施进度：完成实际投资额占总投资</w:t>
      </w:r>
      <w:bookmarkStart w:id="0" w:name="_GoBack"/>
      <w:bookmarkEnd w:id="0"/>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0</w:t>
      </w:r>
      <w:r>
        <w:rPr>
          <w:rFonts w:hint="eastAsia" w:ascii="仿宋" w:hAnsi="仿宋" w:eastAsia="仿宋" w:cs="仿宋"/>
          <w:sz w:val="32"/>
          <w:szCs w:val="32"/>
        </w:rPr>
        <w:t>%。</w:t>
      </w:r>
    </w:p>
    <w:p w14:paraId="3578C07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项目完成质量：</w:t>
      </w:r>
      <w:r>
        <w:rPr>
          <w:rFonts w:hint="eastAsia" w:ascii="仿宋" w:hAnsi="仿宋" w:eastAsia="仿宋" w:cs="仿宋"/>
          <w:sz w:val="32"/>
          <w:szCs w:val="32"/>
          <w:u w:val="single"/>
        </w:rPr>
        <w:t>良</w:t>
      </w:r>
      <w:r>
        <w:rPr>
          <w:rFonts w:hint="eastAsia" w:ascii="仿宋" w:hAnsi="仿宋" w:eastAsia="仿宋" w:cs="仿宋"/>
          <w:sz w:val="32"/>
          <w:szCs w:val="32"/>
        </w:rPr>
        <w:t>。</w:t>
      </w:r>
    </w:p>
    <w:p w14:paraId="747B4F44">
      <w:pPr>
        <w:pStyle w:val="4"/>
        <w:bidi w:val="0"/>
        <w:rPr>
          <w:rFonts w:hint="eastAsia"/>
        </w:rPr>
      </w:pPr>
      <w:r>
        <w:rPr>
          <w:rFonts w:hint="eastAsia"/>
        </w:rPr>
        <w:t>3.项目的效益性分析</w:t>
      </w:r>
    </w:p>
    <w:p w14:paraId="399CE7F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项目预期目标完成程度：100%</w:t>
      </w:r>
    </w:p>
    <w:p w14:paraId="537B460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项目实施对经济和社会的影响：</w:t>
      </w:r>
      <w:r>
        <w:rPr>
          <w:rFonts w:hint="eastAsia" w:ascii="仿宋" w:hAnsi="仿宋" w:eastAsia="仿宋" w:cs="仿宋"/>
          <w:sz w:val="32"/>
          <w:szCs w:val="32"/>
          <w:u w:val="single"/>
        </w:rPr>
        <w:t>有利于完善园区交通设施，促进园区招商引资</w:t>
      </w:r>
      <w:r>
        <w:rPr>
          <w:rFonts w:hint="eastAsia" w:ascii="仿宋" w:hAnsi="仿宋" w:eastAsia="仿宋" w:cs="仿宋"/>
          <w:sz w:val="32"/>
          <w:szCs w:val="32"/>
        </w:rPr>
        <w:t>。</w:t>
      </w:r>
    </w:p>
    <w:p w14:paraId="3B3AFBFF">
      <w:pPr>
        <w:pStyle w:val="4"/>
        <w:bidi w:val="0"/>
        <w:rPr>
          <w:rFonts w:hint="eastAsia"/>
        </w:rPr>
      </w:pPr>
      <w:r>
        <w:rPr>
          <w:rFonts w:hint="eastAsia"/>
        </w:rPr>
        <w:t>4.专项债融资与项目收益平衡测算科学性</w:t>
      </w:r>
    </w:p>
    <w:p w14:paraId="4B0A88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w:t>
      </w:r>
    </w:p>
    <w:p w14:paraId="60E243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6356753B">
      <w:pPr>
        <w:pStyle w:val="4"/>
        <w:bidi w:val="0"/>
        <w:rPr>
          <w:rFonts w:hint="eastAsia"/>
        </w:rPr>
      </w:pPr>
      <w:r>
        <w:rPr>
          <w:rFonts w:hint="eastAsia"/>
        </w:rPr>
        <w:t>5.专项债券本息偿还计划执行情况</w:t>
      </w:r>
    </w:p>
    <w:p w14:paraId="06DC47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本项目2024年发行专项债券一期，筹措专项债券资金3</w:t>
      </w:r>
      <w:r>
        <w:rPr>
          <w:rFonts w:hint="eastAsia" w:ascii="仿宋" w:hAnsi="仿宋" w:eastAsia="仿宋" w:cs="仿宋"/>
          <w:sz w:val="32"/>
          <w:szCs w:val="32"/>
          <w:lang w:val="en-US" w:eastAsia="zh-CN"/>
        </w:rPr>
        <w:t>5</w:t>
      </w:r>
      <w:r>
        <w:rPr>
          <w:rFonts w:hint="eastAsia" w:ascii="仿宋" w:hAnsi="仿宋" w:eastAsia="仿宋" w:cs="仿宋"/>
          <w:sz w:val="32"/>
          <w:szCs w:val="32"/>
        </w:rPr>
        <w:t>00万元，还款方式为按期付息到期还本。本项目申请2024年海南省政府专项债券（</w:t>
      </w:r>
      <w:r>
        <w:rPr>
          <w:rFonts w:hint="eastAsia" w:ascii="仿宋" w:hAnsi="仿宋" w:eastAsia="仿宋" w:cs="仿宋"/>
          <w:sz w:val="32"/>
          <w:szCs w:val="32"/>
          <w:lang w:val="en-US" w:eastAsia="zh-CN"/>
        </w:rPr>
        <w:t>八</w:t>
      </w:r>
      <w:r>
        <w:rPr>
          <w:rFonts w:hint="eastAsia" w:ascii="仿宋" w:hAnsi="仿宋" w:eastAsia="仿宋" w:cs="仿宋"/>
          <w:sz w:val="32"/>
          <w:szCs w:val="32"/>
        </w:rPr>
        <w:t>期）的起息日为2024年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3日。按照半年付息的方式，</w:t>
      </w:r>
      <w:r>
        <w:rPr>
          <w:rFonts w:hint="eastAsia" w:ascii="仿宋" w:hAnsi="仿宋" w:eastAsia="仿宋" w:cs="仿宋"/>
          <w:sz w:val="32"/>
          <w:szCs w:val="32"/>
          <w:lang w:val="en-US" w:eastAsia="zh-CN"/>
        </w:rPr>
        <w:t>发行利率为2.41%</w:t>
      </w:r>
      <w:r>
        <w:rPr>
          <w:rFonts w:hint="eastAsia" w:ascii="仿宋" w:hAnsi="仿宋" w:eastAsia="仿宋" w:cs="仿宋"/>
          <w:sz w:val="32"/>
          <w:szCs w:val="32"/>
        </w:rPr>
        <w:t>。本项目偿债资金来源为土地出让收入</w:t>
      </w:r>
      <w:r>
        <w:rPr>
          <w:rFonts w:hint="eastAsia" w:ascii="仿宋" w:hAnsi="仿宋" w:eastAsia="仿宋" w:cs="仿宋"/>
          <w:sz w:val="32"/>
          <w:szCs w:val="32"/>
          <w:lang w:val="en-US" w:eastAsia="zh-CN"/>
        </w:rPr>
        <w:t>及广告牌出租收入</w:t>
      </w:r>
      <w:r>
        <w:rPr>
          <w:rFonts w:hint="eastAsia" w:ascii="仿宋" w:hAnsi="仿宋" w:eastAsia="仿宋" w:cs="仿宋"/>
          <w:sz w:val="32"/>
          <w:szCs w:val="32"/>
        </w:rPr>
        <w:t>，根据偿债资金收入情况，目前能够按计划偿还专项债券资金利息，预期能够在到期后偿还本金，专项债券本息偿还计划执行情况较好。</w:t>
      </w:r>
    </w:p>
    <w:p w14:paraId="4BA09526">
      <w:pPr>
        <w:pStyle w:val="3"/>
        <w:numPr>
          <w:ilvl w:val="0"/>
          <w:numId w:val="4"/>
        </w:numPr>
        <w:bidi w:val="0"/>
        <w:rPr>
          <w:rFonts w:hint="eastAsia"/>
        </w:rPr>
      </w:pPr>
      <w:r>
        <w:rPr>
          <w:rFonts w:hint="eastAsia"/>
        </w:rPr>
        <w:t>项目绩效目标未完成原因分析</w:t>
      </w:r>
    </w:p>
    <w:p w14:paraId="6A86B1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00BD646E">
      <w:pPr>
        <w:pStyle w:val="2"/>
        <w:numPr>
          <w:ilvl w:val="0"/>
          <w:numId w:val="1"/>
        </w:numPr>
        <w:bidi w:val="0"/>
        <w:rPr>
          <w:rFonts w:hint="eastAsia"/>
        </w:rPr>
      </w:pPr>
      <w:r>
        <w:rPr>
          <w:rFonts w:hint="eastAsia"/>
        </w:rPr>
        <w:t>其他需要说明的问题</w:t>
      </w:r>
    </w:p>
    <w:p w14:paraId="7CC28FCC">
      <w:pPr>
        <w:pStyle w:val="3"/>
        <w:numPr>
          <w:ilvl w:val="0"/>
          <w:numId w:val="8"/>
        </w:numPr>
        <w:bidi w:val="0"/>
        <w:rPr>
          <w:rFonts w:hint="eastAsia"/>
        </w:rPr>
      </w:pPr>
      <w:r>
        <w:rPr>
          <w:rFonts w:hint="eastAsia"/>
        </w:rPr>
        <w:t>总体评价</w:t>
      </w:r>
    </w:p>
    <w:p w14:paraId="4F137C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我委负责的</w:t>
      </w:r>
      <w:r>
        <w:rPr>
          <w:rFonts w:hint="eastAsia" w:ascii="仿宋" w:hAnsi="仿宋" w:eastAsia="仿宋" w:cs="仿宋"/>
          <w:sz w:val="32"/>
          <w:szCs w:val="32"/>
          <w:u w:val="single"/>
          <w:lang w:eastAsia="zh-CN"/>
        </w:rPr>
        <w:t>美安科技新城物流园配套基础设施项目</w:t>
      </w:r>
      <w:r>
        <w:rPr>
          <w:rFonts w:hint="eastAsia" w:ascii="仿宋" w:hAnsi="仿宋" w:eastAsia="仿宋" w:cs="仿宋"/>
          <w:sz w:val="32"/>
          <w:szCs w:val="32"/>
        </w:rPr>
        <w:t>在目标设定、决策过程、资金分配、资金到位、资金管理、组织实施、项目效果等方面落实情况较好，总评分:</w:t>
      </w:r>
      <w:r>
        <w:rPr>
          <w:rFonts w:hint="eastAsia" w:ascii="仿宋" w:hAnsi="仿宋" w:eastAsia="仿宋" w:cs="仿宋"/>
          <w:sz w:val="32"/>
          <w:szCs w:val="32"/>
          <w:u w:val="single"/>
        </w:rPr>
        <w:t>良</w:t>
      </w:r>
      <w:r>
        <w:rPr>
          <w:rFonts w:hint="eastAsia" w:ascii="仿宋" w:hAnsi="仿宋" w:eastAsia="仿宋" w:cs="仿宋"/>
          <w:sz w:val="32"/>
          <w:szCs w:val="32"/>
        </w:rPr>
        <w:t>。</w:t>
      </w:r>
    </w:p>
    <w:p w14:paraId="3989BB63">
      <w:pPr>
        <w:pStyle w:val="3"/>
        <w:numPr>
          <w:ilvl w:val="0"/>
          <w:numId w:val="8"/>
        </w:numPr>
        <w:bidi w:val="0"/>
        <w:rPr>
          <w:rFonts w:hint="eastAsia"/>
        </w:rPr>
      </w:pPr>
      <w:r>
        <w:rPr>
          <w:rFonts w:hint="eastAsia"/>
        </w:rPr>
        <w:t>存在的问题及建议</w:t>
      </w:r>
    </w:p>
    <w:p w14:paraId="73E68A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存在问题：</w:t>
      </w:r>
    </w:p>
    <w:p w14:paraId="6E509A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p w14:paraId="253392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w:t>
      </w:r>
    </w:p>
    <w:p w14:paraId="69C2C6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D0F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D43D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D43D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0D1DBA"/>
    <w:rsid w:val="001650A3"/>
    <w:rsid w:val="0018112B"/>
    <w:rsid w:val="001E14E7"/>
    <w:rsid w:val="00211992"/>
    <w:rsid w:val="002F2D01"/>
    <w:rsid w:val="003A6EBA"/>
    <w:rsid w:val="003B725D"/>
    <w:rsid w:val="00420E6F"/>
    <w:rsid w:val="00560A83"/>
    <w:rsid w:val="00574A5A"/>
    <w:rsid w:val="005B2A62"/>
    <w:rsid w:val="005F27E3"/>
    <w:rsid w:val="00622CA6"/>
    <w:rsid w:val="00631FCC"/>
    <w:rsid w:val="00721AE5"/>
    <w:rsid w:val="007A5E8A"/>
    <w:rsid w:val="007F73CC"/>
    <w:rsid w:val="008A6A47"/>
    <w:rsid w:val="00930BEB"/>
    <w:rsid w:val="009B5EC7"/>
    <w:rsid w:val="009C500C"/>
    <w:rsid w:val="009E48C0"/>
    <w:rsid w:val="00A528B0"/>
    <w:rsid w:val="00AB35E3"/>
    <w:rsid w:val="00AE6B0F"/>
    <w:rsid w:val="00B26574"/>
    <w:rsid w:val="00B34EFE"/>
    <w:rsid w:val="00B67763"/>
    <w:rsid w:val="00BB1592"/>
    <w:rsid w:val="00D65316"/>
    <w:rsid w:val="00E96E6A"/>
    <w:rsid w:val="00EA5E27"/>
    <w:rsid w:val="00F335B5"/>
    <w:rsid w:val="105B1B51"/>
    <w:rsid w:val="12363DC5"/>
    <w:rsid w:val="20AD7070"/>
    <w:rsid w:val="26A33336"/>
    <w:rsid w:val="27437A0A"/>
    <w:rsid w:val="2ED05F44"/>
    <w:rsid w:val="33A67AE2"/>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643" w:firstLineChars="200"/>
      <w:outlineLvl w:val="0"/>
    </w:pPr>
    <w:rPr>
      <w:rFonts w:ascii="Times New Roman" w:hAnsi="Times New Roman" w:eastAsia="黑体" w:cs="Times New Roman"/>
      <w:b/>
      <w:bCs/>
      <w:kern w:val="44"/>
      <w:sz w:val="32"/>
      <w:szCs w:val="44"/>
    </w:rPr>
  </w:style>
  <w:style w:type="paragraph" w:styleId="3">
    <w:name w:val="heading 2"/>
    <w:basedOn w:val="1"/>
    <w:next w:val="1"/>
    <w:unhideWhenUsed/>
    <w:qFormat/>
    <w:uiPriority w:val="0"/>
    <w:pPr>
      <w:keepNext/>
      <w:keepLines/>
      <w:spacing w:beforeLines="0" w:beforeAutospacing="0" w:afterLines="0" w:afterAutospacing="0" w:line="360" w:lineRule="auto"/>
      <w:ind w:firstLine="720" w:firstLineChars="200"/>
      <w:outlineLvl w:val="1"/>
    </w:pPr>
    <w:rPr>
      <w:rFonts w:ascii="楷体" w:hAnsi="楷体" w:eastAsia="楷体" w:cs="Times New Roman"/>
      <w:b/>
      <w:sz w:val="32"/>
      <w:szCs w:val="22"/>
    </w:rPr>
  </w:style>
  <w:style w:type="paragraph" w:styleId="4">
    <w:name w:val="heading 3"/>
    <w:basedOn w:val="1"/>
    <w:next w:val="1"/>
    <w:unhideWhenUsed/>
    <w:qFormat/>
    <w:uiPriority w:val="0"/>
    <w:pPr>
      <w:keepNext/>
      <w:keepLines/>
      <w:spacing w:beforeLines="0" w:beforeAutospacing="0" w:afterLines="0" w:afterAutospacing="0" w:line="360" w:lineRule="auto"/>
      <w:ind w:firstLine="720" w:firstLineChars="200"/>
      <w:outlineLvl w:val="2"/>
    </w:pPr>
    <w:rPr>
      <w:rFonts w:ascii="仿宋" w:hAnsi="仿宋" w:eastAsia="仿宋"/>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964" w:firstLineChars="200"/>
    </w:pPr>
    <w:rPr>
      <w:rFonts w:ascii="Calibri" w:hAnsi="Calibri" w:eastAsia="宋体" w:cs="Times New Roman"/>
    </w:rPr>
  </w:style>
  <w:style w:type="paragraph" w:styleId="6">
    <w:name w:val="Body Text"/>
    <w:basedOn w:val="1"/>
    <w:semiHidden/>
    <w:unhideWhenUsed/>
    <w:qFormat/>
    <w:uiPriority w:val="99"/>
    <w:pPr>
      <w:spacing w:after="120"/>
    </w:pPr>
  </w:style>
  <w:style w:type="paragraph" w:styleId="7">
    <w:name w:val="Body Text Indent"/>
    <w:basedOn w:val="1"/>
    <w:semiHidden/>
    <w:unhideWhenUsed/>
    <w:qFormat/>
    <w:uiPriority w:val="99"/>
    <w:pPr>
      <w:spacing w:after="120"/>
      <w:ind w:left="420" w:leftChars="2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Body Text First Indent"/>
    <w:basedOn w:val="6"/>
    <w:semiHidden/>
    <w:unhideWhenUsed/>
    <w:qFormat/>
    <w:uiPriority w:val="99"/>
    <w:pPr>
      <w:ind w:firstLine="420" w:firstLineChars="100"/>
    </w:pPr>
  </w:style>
  <w:style w:type="paragraph" w:styleId="11">
    <w:name w:val="Body Text First Indent 2"/>
    <w:basedOn w:val="7"/>
    <w:next w:val="10"/>
    <w:qFormat/>
    <w:uiPriority w:val="0"/>
    <w:pPr>
      <w:ind w:firstLine="420" w:firstLineChars="200"/>
    </w:p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character" w:customStyle="1" w:styleId="15">
    <w:name w:val="页脚 字符"/>
    <w:basedOn w:val="13"/>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1963</Words>
  <Characters>2141</Characters>
  <Lines>16</Lines>
  <Paragraphs>4</Paragraphs>
  <TotalTime>13</TotalTime>
  <ScaleCrop>false</ScaleCrop>
  <LinksUpToDate>false</LinksUpToDate>
  <CharactersWithSpaces>2141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2025-06-25T08:35:00Z</dcterms:created>
  <dc:creator>dell</dc:creator>
  <cp:lastModifiedBy>Elias</cp:lastModifiedBy>
  <dcterms:modified xsi:type="dcterms:W3CDTF">2025-06-26T06:52:06Z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3FFFAE27C4204180B11AA8C0C11E4756</vt:lpwstr>
  </property>
  <property fmtid="{D5CDD505-2E9C-101B-9397-08002B2CF9AE}" pid="4" name="KSOTemplateDocerSaveRecord">
    <vt:lpwstr>eyJoZGlkIjoiNzJlMjE5MjIzZmZiYWRhMmE0NzczNWRlNTYzNTc3NDMiLCJ1c2VySWQiOiIxMzM4NjYyMDA3In0=</vt:lpwstr>
  </property>
</Properties>
</file>