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2E63">
      <w:pPr>
        <w:adjustRightInd w:val="0"/>
        <w:snapToGrid w:val="0"/>
        <w:spacing w:line="360" w:lineRule="auto"/>
        <w:jc w:val="center"/>
        <w:rPr>
          <w:rFonts w:hint="eastAsia" w:ascii="黑体" w:hAnsi="黑体" w:eastAsia="黑体" w:cs="黑体"/>
          <w:sz w:val="36"/>
          <w:szCs w:val="36"/>
        </w:rPr>
      </w:pPr>
      <w:r>
        <w:rPr>
          <w:rFonts w:hint="eastAsia" w:ascii="黑体" w:hAnsi="黑体" w:eastAsia="黑体" w:cs="黑体"/>
          <w:sz w:val="36"/>
          <w:szCs w:val="36"/>
        </w:rPr>
        <w:t>海口市财政支出项目绩效自评报告（</w:t>
      </w:r>
      <w:r>
        <w:rPr>
          <w:rFonts w:hint="eastAsia" w:ascii="黑体" w:hAnsi="黑体" w:eastAsia="黑体" w:cs="黑体"/>
          <w:sz w:val="36"/>
          <w:szCs w:val="36"/>
          <w:u w:val="single"/>
          <w:lang w:eastAsia="zh-CN"/>
        </w:rPr>
        <w:t>海口国家高新区美安二期起步区基础设施建设项目一期</w:t>
      </w:r>
      <w:r>
        <w:rPr>
          <w:rFonts w:hint="eastAsia" w:ascii="黑体" w:hAnsi="黑体" w:eastAsia="黑体" w:cs="黑体"/>
          <w:sz w:val="36"/>
          <w:szCs w:val="36"/>
        </w:rPr>
        <w:t>）</w:t>
      </w:r>
    </w:p>
    <w:p w14:paraId="57274715">
      <w:pPr>
        <w:pStyle w:val="2"/>
        <w:numPr>
          <w:ilvl w:val="0"/>
          <w:numId w:val="1"/>
        </w:numPr>
        <w:bidi w:val="0"/>
        <w:rPr>
          <w:rFonts w:hint="eastAsia"/>
        </w:rPr>
      </w:pPr>
      <w:r>
        <w:t>项目概况</w:t>
      </w:r>
    </w:p>
    <w:p w14:paraId="18DED689">
      <w:pPr>
        <w:pStyle w:val="3"/>
        <w:numPr>
          <w:ilvl w:val="0"/>
          <w:numId w:val="2"/>
        </w:numPr>
        <w:bidi w:val="0"/>
        <w:rPr>
          <w:rFonts w:hint="eastAsia"/>
        </w:rPr>
      </w:pPr>
      <w:r>
        <w:t>项目基本情况：</w:t>
      </w:r>
    </w:p>
    <w:p w14:paraId="37D8FA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1.项目主要内容</w:t>
      </w:r>
      <w:r>
        <w:rPr>
          <w:rFonts w:hint="eastAsia" w:ascii="仿宋" w:hAnsi="仿宋" w:eastAsia="仿宋" w:cs="仿宋"/>
          <w:sz w:val="32"/>
          <w:szCs w:val="32"/>
          <w:lang w:eastAsia="zh-CN"/>
        </w:rPr>
        <w:t>：</w:t>
      </w:r>
      <w:r>
        <w:rPr>
          <w:rFonts w:hint="eastAsia" w:ascii="仿宋" w:hAnsi="仿宋" w:eastAsia="仿宋" w:cs="仿宋"/>
          <w:sz w:val="32"/>
          <w:szCs w:val="32"/>
          <w:u w:val="single"/>
        </w:rPr>
        <w:t>海口国家高新区美安二期计划建设市政道路6条（包含2条主干路、2条次干路、2条支路），总长约3.82km。其中，安读二路长560.596m、安读一路长551.927m、美安大道长1550.311m、安岭一路长395.701m、美安二环路长390.294m、美安一环路长397.648m，红线宽度20-60m。主要建设内容包括道路交通工程、给排水工程、电气工程等。</w:t>
      </w:r>
    </w:p>
    <w:p w14:paraId="1A0CB5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2.资金：2024年</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预算经费为</w:t>
      </w:r>
      <w:r>
        <w:rPr>
          <w:rFonts w:hint="eastAsia" w:ascii="仿宋" w:hAnsi="仿宋" w:eastAsia="仿宋" w:cs="仿宋"/>
          <w:sz w:val="32"/>
          <w:szCs w:val="32"/>
          <w:u w:val="single"/>
          <w:lang w:val="en-US" w:eastAsia="zh-CN"/>
        </w:rPr>
        <w:t>32800</w:t>
      </w:r>
      <w:r>
        <w:rPr>
          <w:rFonts w:hint="eastAsia" w:ascii="仿宋" w:hAnsi="仿宋" w:eastAsia="仿宋" w:cs="仿宋"/>
          <w:sz w:val="32"/>
          <w:szCs w:val="32"/>
        </w:rPr>
        <w:t>万元，资金来源为</w:t>
      </w:r>
      <w:r>
        <w:rPr>
          <w:rFonts w:hint="eastAsia" w:ascii="仿宋" w:hAnsi="仿宋" w:eastAsia="仿宋" w:cs="仿宋"/>
          <w:sz w:val="32"/>
          <w:szCs w:val="32"/>
          <w:u w:val="single"/>
        </w:rPr>
        <w:t>专项债资金</w:t>
      </w:r>
      <w:r>
        <w:rPr>
          <w:rFonts w:hint="eastAsia" w:ascii="仿宋" w:hAnsi="仿宋" w:eastAsia="仿宋" w:cs="仿宋"/>
          <w:sz w:val="32"/>
          <w:szCs w:val="32"/>
          <w:u w:val="single"/>
          <w:lang w:val="en-US" w:eastAsia="zh-CN"/>
        </w:rPr>
        <w:t>32800</w:t>
      </w:r>
      <w:r>
        <w:rPr>
          <w:rFonts w:hint="eastAsia" w:ascii="仿宋" w:hAnsi="仿宋" w:eastAsia="仿宋" w:cs="仿宋"/>
          <w:sz w:val="32"/>
          <w:szCs w:val="32"/>
          <w:u w:val="single"/>
        </w:rPr>
        <w:t>万元</w:t>
      </w:r>
      <w:r>
        <w:rPr>
          <w:rFonts w:hint="eastAsia" w:ascii="仿宋" w:hAnsi="仿宋" w:eastAsia="仿宋" w:cs="仿宋"/>
          <w:sz w:val="32"/>
          <w:szCs w:val="32"/>
        </w:rPr>
        <w:t>，2024年支付</w:t>
      </w:r>
      <w:r>
        <w:rPr>
          <w:rFonts w:hint="eastAsia" w:ascii="仿宋" w:hAnsi="仿宋" w:eastAsia="仿宋" w:cs="仿宋"/>
          <w:sz w:val="32"/>
          <w:szCs w:val="32"/>
          <w:u w:val="single"/>
          <w:lang w:val="en-US" w:eastAsia="zh-CN"/>
        </w:rPr>
        <w:t>32800</w:t>
      </w:r>
      <w:r>
        <w:rPr>
          <w:rFonts w:hint="eastAsia" w:ascii="仿宋" w:hAnsi="仿宋" w:eastAsia="仿宋" w:cs="仿宋"/>
          <w:sz w:val="32"/>
          <w:szCs w:val="32"/>
        </w:rPr>
        <w:t>万元。</w:t>
      </w:r>
    </w:p>
    <w:p w14:paraId="749B609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预算单位</w:t>
      </w:r>
      <w:r>
        <w:rPr>
          <w:rFonts w:hint="eastAsia" w:ascii="仿宋" w:hAnsi="仿宋" w:eastAsia="仿宋" w:cs="仿宋"/>
          <w:sz w:val="32"/>
          <w:szCs w:val="32"/>
          <w:u w:val="single"/>
        </w:rPr>
        <w:t>海口国家高新区管委会</w:t>
      </w:r>
      <w:r>
        <w:rPr>
          <w:rFonts w:hint="eastAsia" w:ascii="仿宋" w:hAnsi="仿宋" w:eastAsia="仿宋" w:cs="仿宋"/>
          <w:sz w:val="32"/>
          <w:szCs w:val="32"/>
        </w:rPr>
        <w:t>(行政主管部门)的</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w:t>
      </w:r>
    </w:p>
    <w:p w14:paraId="07D5551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主管部门为</w:t>
      </w:r>
      <w:r>
        <w:rPr>
          <w:rFonts w:hint="eastAsia" w:ascii="仿宋" w:hAnsi="仿宋" w:eastAsia="仿宋" w:cs="仿宋"/>
          <w:sz w:val="32"/>
          <w:szCs w:val="32"/>
          <w:u w:val="single"/>
        </w:rPr>
        <w:t>海口国家高新区管委会</w:t>
      </w:r>
      <w:r>
        <w:rPr>
          <w:rFonts w:hint="eastAsia" w:ascii="仿宋" w:hAnsi="仿宋" w:eastAsia="仿宋" w:cs="仿宋"/>
          <w:sz w:val="32"/>
          <w:szCs w:val="32"/>
        </w:rPr>
        <w:t>(行政主管部门)</w:t>
      </w:r>
    </w:p>
    <w:p w14:paraId="1E2D9A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项目业主为</w:t>
      </w:r>
      <w:r>
        <w:rPr>
          <w:rFonts w:hint="eastAsia" w:ascii="仿宋" w:hAnsi="仿宋" w:eastAsia="仿宋" w:cs="仿宋"/>
          <w:sz w:val="32"/>
          <w:szCs w:val="32"/>
          <w:u w:val="single"/>
        </w:rPr>
        <w:t>海口佳和项目管理有限公司</w:t>
      </w:r>
    </w:p>
    <w:p w14:paraId="4D8D91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项目概述如下：保障经费的支出，保障项目正常开展建设。</w:t>
      </w:r>
    </w:p>
    <w:p w14:paraId="4B21DF58">
      <w:pPr>
        <w:pStyle w:val="3"/>
        <w:numPr>
          <w:ilvl w:val="0"/>
          <w:numId w:val="2"/>
        </w:numPr>
        <w:bidi w:val="0"/>
        <w:rPr>
          <w:rFonts w:hint="eastAsia"/>
        </w:rPr>
      </w:pPr>
      <w:r>
        <w:rPr>
          <w:rFonts w:hint="eastAsia"/>
        </w:rPr>
        <w:t>项目年度预算绩效目标和绩效指标设定情况</w:t>
      </w:r>
    </w:p>
    <w:p w14:paraId="6D8209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总体目标：完成项目</w:t>
      </w:r>
      <w:r>
        <w:rPr>
          <w:rFonts w:hint="eastAsia" w:ascii="仿宋" w:hAnsi="仿宋" w:eastAsia="仿宋" w:cs="仿宋"/>
          <w:sz w:val="32"/>
          <w:szCs w:val="32"/>
          <w:lang w:val="en-US" w:eastAsia="zh-CN"/>
        </w:rPr>
        <w:t>计划</w:t>
      </w:r>
      <w:r>
        <w:rPr>
          <w:rFonts w:hint="eastAsia" w:ascii="仿宋" w:hAnsi="仿宋" w:eastAsia="仿宋" w:cs="仿宋"/>
          <w:sz w:val="32"/>
          <w:szCs w:val="32"/>
        </w:rPr>
        <w:t>建设总量100%。</w:t>
      </w:r>
    </w:p>
    <w:p w14:paraId="30BF38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当年年度目标完成情况：2024年预算价为</w:t>
      </w:r>
      <w:r>
        <w:rPr>
          <w:rFonts w:hint="eastAsia" w:ascii="仿宋" w:hAnsi="仿宋" w:eastAsia="仿宋" w:cs="仿宋"/>
          <w:sz w:val="32"/>
          <w:szCs w:val="32"/>
          <w:highlight w:val="none"/>
          <w:u w:val="single"/>
          <w:lang w:val="en-US" w:eastAsia="zh-CN"/>
        </w:rPr>
        <w:t>32800</w:t>
      </w:r>
      <w:r>
        <w:rPr>
          <w:rFonts w:hint="eastAsia" w:ascii="仿宋" w:hAnsi="仿宋" w:eastAsia="仿宋" w:cs="仿宋"/>
          <w:sz w:val="32"/>
          <w:szCs w:val="32"/>
          <w:highlight w:val="none"/>
        </w:rPr>
        <w:t>万元，2024年完成支付</w:t>
      </w:r>
      <w:r>
        <w:rPr>
          <w:rFonts w:hint="eastAsia" w:ascii="仿宋" w:hAnsi="仿宋" w:eastAsia="仿宋" w:cs="仿宋"/>
          <w:sz w:val="32"/>
          <w:szCs w:val="32"/>
          <w:highlight w:val="none"/>
          <w:u w:val="single"/>
          <w:lang w:val="en-US" w:eastAsia="zh-CN"/>
        </w:rPr>
        <w:t>32800</w:t>
      </w:r>
      <w:r>
        <w:rPr>
          <w:rFonts w:hint="eastAsia" w:ascii="仿宋" w:hAnsi="仿宋" w:eastAsia="仿宋" w:cs="仿宋"/>
          <w:sz w:val="32"/>
          <w:szCs w:val="32"/>
          <w:highlight w:val="none"/>
        </w:rPr>
        <w:t>万元。</w:t>
      </w:r>
    </w:p>
    <w:p w14:paraId="526F6B46">
      <w:pPr>
        <w:pStyle w:val="2"/>
        <w:numPr>
          <w:ilvl w:val="0"/>
          <w:numId w:val="1"/>
        </w:numPr>
        <w:bidi w:val="0"/>
        <w:rPr>
          <w:rFonts w:hint="eastAsia"/>
        </w:rPr>
      </w:pPr>
      <w:r>
        <w:rPr>
          <w:rFonts w:hint="eastAsia"/>
        </w:rPr>
        <w:t>项目决策及资金使用管理情况</w:t>
      </w:r>
    </w:p>
    <w:p w14:paraId="177339B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项目决策情况：2024年</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列入部门预算经费为</w:t>
      </w:r>
      <w:r>
        <w:rPr>
          <w:rFonts w:hint="eastAsia" w:ascii="仿宋" w:hAnsi="仿宋" w:eastAsia="仿宋" w:cs="仿宋"/>
          <w:sz w:val="32"/>
          <w:szCs w:val="32"/>
          <w:u w:val="single"/>
          <w:lang w:val="en-US" w:eastAsia="zh-CN"/>
        </w:rPr>
        <w:t>32800</w:t>
      </w:r>
      <w:r>
        <w:rPr>
          <w:rFonts w:hint="eastAsia" w:ascii="仿宋" w:hAnsi="仿宋" w:eastAsia="仿宋" w:cs="仿宋"/>
          <w:sz w:val="32"/>
          <w:szCs w:val="32"/>
        </w:rPr>
        <w:t>万元，2024年实际支付</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w:t>
      </w:r>
    </w:p>
    <w:p w14:paraId="3A7A00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项目资金安排落实、总投入等情况：2024年</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资金</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万元列入2024年部门预算，2024年已完成支付</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万元。预算情况如下：2024年度</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部门预算，预算金额为</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w:t>
      </w:r>
    </w:p>
    <w:p w14:paraId="757D210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项目资金（主要是指财政资金）实际使用情况资金执行情况如下：2024年</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列入部门预算经费为</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万元，实际支付</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w:t>
      </w:r>
    </w:p>
    <w:p w14:paraId="5C689C4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项目资金管理情况：2024年度</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由项目业主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192BA453">
      <w:pPr>
        <w:pStyle w:val="2"/>
        <w:numPr>
          <w:ilvl w:val="0"/>
          <w:numId w:val="1"/>
        </w:numPr>
        <w:bidi w:val="0"/>
        <w:rPr>
          <w:rFonts w:hint="eastAsia"/>
        </w:rPr>
      </w:pPr>
      <w:r>
        <w:rPr>
          <w:rFonts w:hint="eastAsia"/>
        </w:rPr>
        <w:t>项目组织实施情况</w:t>
      </w:r>
    </w:p>
    <w:p w14:paraId="3A4BBFDF">
      <w:pPr>
        <w:pStyle w:val="3"/>
        <w:bidi w:val="0"/>
        <w:rPr>
          <w:rFonts w:hint="eastAsia"/>
        </w:rPr>
      </w:pPr>
      <w:r>
        <w:rPr>
          <w:rFonts w:hint="eastAsia"/>
        </w:rPr>
        <w:t>（一）项目组织情况</w:t>
      </w:r>
    </w:p>
    <w:p w14:paraId="070C9E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通过确定项目业主，由项目业主负责项目建设。项目业主按照相关规定开展建设管理工作。</w:t>
      </w:r>
    </w:p>
    <w:p w14:paraId="0A3A1743">
      <w:pPr>
        <w:pStyle w:val="3"/>
        <w:bidi w:val="0"/>
        <w:rPr>
          <w:rFonts w:hint="eastAsia"/>
        </w:rPr>
      </w:pPr>
      <w:r>
        <w:rPr>
          <w:rFonts w:hint="eastAsia"/>
        </w:rPr>
        <w:t>（二）项目管理情况</w:t>
      </w:r>
    </w:p>
    <w:p w14:paraId="719B10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项目业主按照相关规定，按时、按质、按量完成项目监督考评工作。</w:t>
      </w:r>
    </w:p>
    <w:p w14:paraId="3CADF0D7">
      <w:pPr>
        <w:pStyle w:val="2"/>
        <w:numPr>
          <w:ilvl w:val="0"/>
          <w:numId w:val="1"/>
        </w:numPr>
        <w:bidi w:val="0"/>
        <w:rPr>
          <w:rFonts w:hint="eastAsia"/>
        </w:rPr>
      </w:pPr>
      <w:r>
        <w:rPr>
          <w:rFonts w:hint="eastAsia"/>
        </w:rPr>
        <w:t>项目绩效情况</w:t>
      </w:r>
    </w:p>
    <w:p w14:paraId="77FD37D3">
      <w:pPr>
        <w:pStyle w:val="3"/>
        <w:numPr>
          <w:ilvl w:val="0"/>
          <w:numId w:val="4"/>
        </w:numPr>
        <w:bidi w:val="0"/>
        <w:rPr>
          <w:rFonts w:hint="eastAsia"/>
        </w:rPr>
      </w:pPr>
      <w:r>
        <w:rPr>
          <w:rFonts w:hint="eastAsia"/>
        </w:rPr>
        <w:t>项目绩效目标完成情况分析</w:t>
      </w:r>
    </w:p>
    <w:p w14:paraId="4853A40B">
      <w:pPr>
        <w:pStyle w:val="4"/>
        <w:bidi w:val="0"/>
        <w:rPr>
          <w:rFonts w:hint="eastAsia"/>
        </w:rPr>
      </w:pPr>
      <w:r>
        <w:rPr>
          <w:rFonts w:hint="eastAsia"/>
        </w:rPr>
        <w:t>1.项目的经济性分析</w:t>
      </w:r>
    </w:p>
    <w:p w14:paraId="4BC926B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项目成本（预算）控制情况：</w:t>
      </w:r>
    </w:p>
    <w:p w14:paraId="7EDF29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资金列入2024年度部门预算</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万元，实际到位资金</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万元，截至2024年12月31日，项目共支出</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万元。项目支出在预算的范围内。</w:t>
      </w:r>
    </w:p>
    <w:p w14:paraId="52545A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项目成本（预算）节约情况：2024年</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列入2024年部门经费预算</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万元，实际到位资金</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万元，支出</w:t>
      </w:r>
      <w:r>
        <w:rPr>
          <w:rFonts w:hint="eastAsia" w:ascii="仿宋" w:hAnsi="仿宋" w:eastAsia="仿宋" w:cs="仿宋"/>
          <w:sz w:val="32"/>
          <w:szCs w:val="32"/>
          <w:u w:val="single"/>
          <w:lang w:eastAsia="zh-CN"/>
        </w:rPr>
        <w:t>32800</w:t>
      </w:r>
      <w:r>
        <w:rPr>
          <w:rFonts w:hint="eastAsia" w:ascii="仿宋" w:hAnsi="仿宋" w:eastAsia="仿宋" w:cs="仿宋"/>
          <w:sz w:val="32"/>
          <w:szCs w:val="32"/>
        </w:rPr>
        <w:t>万元。</w:t>
      </w:r>
    </w:p>
    <w:p w14:paraId="091AC1F5">
      <w:pPr>
        <w:pStyle w:val="4"/>
        <w:bidi w:val="0"/>
        <w:rPr>
          <w:rFonts w:hint="eastAsia"/>
        </w:rPr>
      </w:pPr>
      <w:r>
        <w:rPr>
          <w:rFonts w:hint="eastAsia"/>
        </w:rPr>
        <w:t>2.项目的效率性分析</w:t>
      </w:r>
    </w:p>
    <w:p w14:paraId="628F7B4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项目的实施进度：完成实际投资额占总投资</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0</w:t>
      </w:r>
      <w:r>
        <w:rPr>
          <w:rFonts w:hint="eastAsia" w:ascii="仿宋" w:hAnsi="仿宋" w:eastAsia="仿宋" w:cs="仿宋"/>
          <w:sz w:val="32"/>
          <w:szCs w:val="32"/>
        </w:rPr>
        <w:t>%。</w:t>
      </w:r>
    </w:p>
    <w:p w14:paraId="3578C07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项目完成质量：</w:t>
      </w:r>
      <w:r>
        <w:rPr>
          <w:rFonts w:hint="eastAsia" w:ascii="仿宋" w:hAnsi="仿宋" w:eastAsia="仿宋" w:cs="仿宋"/>
          <w:sz w:val="32"/>
          <w:szCs w:val="32"/>
          <w:u w:val="single"/>
        </w:rPr>
        <w:t>良</w:t>
      </w:r>
      <w:r>
        <w:rPr>
          <w:rFonts w:hint="eastAsia" w:ascii="仿宋" w:hAnsi="仿宋" w:eastAsia="仿宋" w:cs="仿宋"/>
          <w:sz w:val="32"/>
          <w:szCs w:val="32"/>
        </w:rPr>
        <w:t>。</w:t>
      </w:r>
    </w:p>
    <w:p w14:paraId="747B4F44">
      <w:pPr>
        <w:pStyle w:val="4"/>
        <w:bidi w:val="0"/>
        <w:rPr>
          <w:rFonts w:hint="eastAsia"/>
        </w:rPr>
      </w:pPr>
      <w:r>
        <w:rPr>
          <w:rFonts w:hint="eastAsia"/>
        </w:rPr>
        <w:t>3.项目的效益性分析</w:t>
      </w:r>
    </w:p>
    <w:p w14:paraId="399CE7F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项目预期目标完成程度：100%</w:t>
      </w:r>
    </w:p>
    <w:p w14:paraId="537B460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项目实施对经济和社会的影响：</w:t>
      </w:r>
      <w:r>
        <w:rPr>
          <w:rFonts w:hint="eastAsia" w:ascii="仿宋" w:hAnsi="仿宋" w:eastAsia="仿宋" w:cs="仿宋"/>
          <w:sz w:val="32"/>
          <w:szCs w:val="32"/>
          <w:u w:val="single"/>
        </w:rPr>
        <w:t>有利于完善园区交通设施，促进园区招商引资</w:t>
      </w:r>
      <w:r>
        <w:rPr>
          <w:rFonts w:hint="eastAsia" w:ascii="仿宋" w:hAnsi="仿宋" w:eastAsia="仿宋" w:cs="仿宋"/>
          <w:sz w:val="32"/>
          <w:szCs w:val="32"/>
        </w:rPr>
        <w:t>。</w:t>
      </w:r>
    </w:p>
    <w:p w14:paraId="3B3AFBFF">
      <w:pPr>
        <w:pStyle w:val="4"/>
        <w:bidi w:val="0"/>
        <w:rPr>
          <w:rFonts w:hint="eastAsia"/>
        </w:rPr>
      </w:pPr>
      <w:r>
        <w:rPr>
          <w:rFonts w:hint="eastAsia"/>
        </w:rPr>
        <w:t>4.专项债融资与项目收益平衡测算科学性</w:t>
      </w:r>
    </w:p>
    <w:p w14:paraId="4B0A88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w:t>
      </w:r>
    </w:p>
    <w:p w14:paraId="60E243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较为科学，可用于还本付息的资金具有一定的稳定性与风险抵抗能力。</w:t>
      </w:r>
    </w:p>
    <w:p w14:paraId="6356753B">
      <w:pPr>
        <w:pStyle w:val="4"/>
        <w:bidi w:val="0"/>
        <w:rPr>
          <w:rFonts w:hint="eastAsia"/>
        </w:rPr>
      </w:pPr>
      <w:r>
        <w:rPr>
          <w:rFonts w:hint="eastAsia"/>
        </w:rPr>
        <w:t>5.专项债券本息偿还计划执行情况</w:t>
      </w:r>
    </w:p>
    <w:p w14:paraId="06DC47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本项目2024年发行专项债券一期，筹措专项债券资金</w:t>
      </w:r>
      <w:r>
        <w:rPr>
          <w:rFonts w:hint="eastAsia" w:ascii="仿宋" w:hAnsi="仿宋" w:eastAsia="仿宋" w:cs="仿宋"/>
          <w:sz w:val="32"/>
          <w:szCs w:val="32"/>
          <w:lang w:eastAsia="zh-CN"/>
        </w:rPr>
        <w:t>32800</w:t>
      </w:r>
      <w:r>
        <w:rPr>
          <w:rFonts w:hint="eastAsia" w:ascii="仿宋" w:hAnsi="仿宋" w:eastAsia="仿宋" w:cs="仿宋"/>
          <w:sz w:val="32"/>
          <w:szCs w:val="32"/>
        </w:rPr>
        <w:t>万元，还款方式为按期付息到期还本。本项目申请2024年海南省政府专项债券（</w:t>
      </w:r>
      <w:r>
        <w:rPr>
          <w:rFonts w:hint="eastAsia" w:ascii="仿宋" w:hAnsi="仿宋" w:eastAsia="仿宋" w:cs="仿宋"/>
          <w:sz w:val="32"/>
          <w:szCs w:val="32"/>
          <w:lang w:val="en-US" w:eastAsia="zh-CN"/>
        </w:rPr>
        <w:t>十一</w:t>
      </w:r>
      <w:r>
        <w:rPr>
          <w:rFonts w:hint="eastAsia" w:ascii="仿宋" w:hAnsi="仿宋" w:eastAsia="仿宋" w:cs="仿宋"/>
          <w:sz w:val="32"/>
          <w:szCs w:val="32"/>
        </w:rPr>
        <w:t>期）发行的</w:t>
      </w:r>
      <w:r>
        <w:rPr>
          <w:rFonts w:hint="eastAsia" w:ascii="仿宋" w:hAnsi="仿宋" w:eastAsia="仿宋" w:cs="仿宋"/>
          <w:sz w:val="32"/>
          <w:szCs w:val="32"/>
          <w:lang w:val="en-US" w:eastAsia="zh-CN"/>
        </w:rPr>
        <w:t>20800万元，的起息日为2024年5月23日，按照半年付息的方式，发行利率为2.63%；</w:t>
      </w:r>
      <w:r>
        <w:rPr>
          <w:rFonts w:hint="eastAsia" w:ascii="仿宋" w:hAnsi="仿宋" w:eastAsia="仿宋" w:cs="仿宋"/>
          <w:sz w:val="32"/>
          <w:szCs w:val="32"/>
        </w:rPr>
        <w:t>2024年海南省政府专项债券（</w:t>
      </w:r>
      <w:r>
        <w:rPr>
          <w:rFonts w:hint="eastAsia" w:ascii="仿宋" w:hAnsi="仿宋" w:eastAsia="仿宋" w:cs="仿宋"/>
          <w:sz w:val="32"/>
          <w:szCs w:val="32"/>
          <w:lang w:val="en-US" w:eastAsia="zh-CN"/>
        </w:rPr>
        <w:t>二十四</w:t>
      </w:r>
      <w:r>
        <w:rPr>
          <w:rFonts w:hint="eastAsia" w:ascii="仿宋" w:hAnsi="仿宋" w:eastAsia="仿宋" w:cs="仿宋"/>
          <w:sz w:val="32"/>
          <w:szCs w:val="32"/>
        </w:rPr>
        <w:t>期）</w:t>
      </w:r>
      <w:r>
        <w:rPr>
          <w:rFonts w:hint="eastAsia" w:ascii="仿宋" w:hAnsi="仿宋" w:eastAsia="仿宋" w:cs="仿宋"/>
          <w:sz w:val="32"/>
          <w:szCs w:val="32"/>
          <w:lang w:val="en-US" w:eastAsia="zh-CN"/>
        </w:rPr>
        <w:t>发行的12000万元</w:t>
      </w:r>
      <w:r>
        <w:rPr>
          <w:rFonts w:hint="eastAsia" w:ascii="仿宋" w:hAnsi="仿宋" w:eastAsia="仿宋" w:cs="仿宋"/>
          <w:sz w:val="32"/>
          <w:szCs w:val="32"/>
        </w:rPr>
        <w:t>的起息日为2024年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按照半年付息的方式，</w:t>
      </w:r>
      <w:r>
        <w:rPr>
          <w:rFonts w:hint="eastAsia" w:ascii="仿宋" w:hAnsi="仿宋" w:eastAsia="仿宋" w:cs="仿宋"/>
          <w:sz w:val="32"/>
          <w:szCs w:val="32"/>
          <w:lang w:val="en-US" w:eastAsia="zh-CN"/>
        </w:rPr>
        <w:t>发行利率为2.43%</w:t>
      </w:r>
      <w:r>
        <w:rPr>
          <w:rFonts w:hint="eastAsia" w:ascii="仿宋" w:hAnsi="仿宋" w:eastAsia="仿宋" w:cs="仿宋"/>
          <w:sz w:val="32"/>
          <w:szCs w:val="32"/>
        </w:rPr>
        <w:t>。本项目偿债资金来源为土地出让收入</w:t>
      </w:r>
      <w:r>
        <w:rPr>
          <w:rFonts w:hint="eastAsia" w:ascii="仿宋" w:hAnsi="仿宋" w:eastAsia="仿宋" w:cs="仿宋"/>
          <w:sz w:val="32"/>
          <w:szCs w:val="32"/>
          <w:lang w:val="en-US" w:eastAsia="zh-CN"/>
        </w:rPr>
        <w:t>及广告牌出租收入</w:t>
      </w:r>
      <w:r>
        <w:rPr>
          <w:rFonts w:hint="eastAsia" w:ascii="仿宋" w:hAnsi="仿宋" w:eastAsia="仿宋" w:cs="仿宋"/>
          <w:sz w:val="32"/>
          <w:szCs w:val="32"/>
        </w:rPr>
        <w:t>，根据偿债</w:t>
      </w:r>
      <w:bookmarkStart w:id="0" w:name="_GoBack"/>
      <w:bookmarkEnd w:id="0"/>
      <w:r>
        <w:rPr>
          <w:rFonts w:hint="eastAsia" w:ascii="仿宋" w:hAnsi="仿宋" w:eastAsia="仿宋" w:cs="仿宋"/>
          <w:sz w:val="32"/>
          <w:szCs w:val="32"/>
        </w:rPr>
        <w:t>资金收入情况，目前能够按计划偿还专项债券资金利息，预期能够在到期后偿还本金，专项债券本息偿还计划执行情况较好。</w:t>
      </w:r>
    </w:p>
    <w:p w14:paraId="4BA09526">
      <w:pPr>
        <w:pStyle w:val="3"/>
        <w:numPr>
          <w:ilvl w:val="0"/>
          <w:numId w:val="4"/>
        </w:numPr>
        <w:bidi w:val="0"/>
        <w:rPr>
          <w:rFonts w:hint="eastAsia"/>
        </w:rPr>
      </w:pPr>
      <w:r>
        <w:rPr>
          <w:rFonts w:hint="eastAsia"/>
        </w:rPr>
        <w:t>项目绩效目标未完成原因分析</w:t>
      </w:r>
    </w:p>
    <w:p w14:paraId="6A86B1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w:t>
      </w:r>
    </w:p>
    <w:p w14:paraId="00BD646E">
      <w:pPr>
        <w:pStyle w:val="2"/>
        <w:numPr>
          <w:ilvl w:val="0"/>
          <w:numId w:val="1"/>
        </w:numPr>
        <w:bidi w:val="0"/>
        <w:rPr>
          <w:rFonts w:hint="eastAsia"/>
        </w:rPr>
      </w:pPr>
      <w:r>
        <w:rPr>
          <w:rFonts w:hint="eastAsia"/>
        </w:rPr>
        <w:t>其他需要说明的问题</w:t>
      </w:r>
    </w:p>
    <w:p w14:paraId="7CC28FCC">
      <w:pPr>
        <w:pStyle w:val="3"/>
        <w:numPr>
          <w:ilvl w:val="0"/>
          <w:numId w:val="8"/>
        </w:numPr>
        <w:bidi w:val="0"/>
        <w:rPr>
          <w:rFonts w:hint="eastAsia"/>
        </w:rPr>
      </w:pPr>
      <w:r>
        <w:rPr>
          <w:rFonts w:hint="eastAsia"/>
        </w:rPr>
        <w:t>总体评价</w:t>
      </w:r>
    </w:p>
    <w:p w14:paraId="4F137C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我委负责的</w:t>
      </w:r>
      <w:r>
        <w:rPr>
          <w:rFonts w:hint="eastAsia" w:ascii="仿宋" w:hAnsi="仿宋" w:eastAsia="仿宋" w:cs="仿宋"/>
          <w:sz w:val="32"/>
          <w:szCs w:val="32"/>
          <w:u w:val="single"/>
          <w:lang w:eastAsia="zh-CN"/>
        </w:rPr>
        <w:t>海口国家高新区美安二期起步区基础设施建设项目一期</w:t>
      </w:r>
      <w:r>
        <w:rPr>
          <w:rFonts w:hint="eastAsia" w:ascii="仿宋" w:hAnsi="仿宋" w:eastAsia="仿宋" w:cs="仿宋"/>
          <w:sz w:val="32"/>
          <w:szCs w:val="32"/>
        </w:rPr>
        <w:t>在目标设定、决策过程、资金分配、资金到位、资金管理、组织实施、项目效果等方面落实情况较好，总评分:</w:t>
      </w:r>
      <w:r>
        <w:rPr>
          <w:rFonts w:hint="eastAsia" w:ascii="仿宋" w:hAnsi="仿宋" w:eastAsia="仿宋" w:cs="仿宋"/>
          <w:sz w:val="32"/>
          <w:szCs w:val="32"/>
          <w:u w:val="single"/>
        </w:rPr>
        <w:t>良</w:t>
      </w:r>
      <w:r>
        <w:rPr>
          <w:rFonts w:hint="eastAsia" w:ascii="仿宋" w:hAnsi="仿宋" w:eastAsia="仿宋" w:cs="仿宋"/>
          <w:sz w:val="32"/>
          <w:szCs w:val="32"/>
        </w:rPr>
        <w:t>。</w:t>
      </w:r>
    </w:p>
    <w:p w14:paraId="3989BB63">
      <w:pPr>
        <w:pStyle w:val="3"/>
        <w:numPr>
          <w:ilvl w:val="0"/>
          <w:numId w:val="8"/>
        </w:numPr>
        <w:bidi w:val="0"/>
        <w:rPr>
          <w:rFonts w:hint="eastAsia"/>
        </w:rPr>
      </w:pPr>
      <w:r>
        <w:rPr>
          <w:rFonts w:hint="eastAsia"/>
        </w:rPr>
        <w:t>存在的问题及建议</w:t>
      </w:r>
    </w:p>
    <w:p w14:paraId="73E68A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存在问题：</w:t>
      </w:r>
    </w:p>
    <w:p w14:paraId="6E509A1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无</w:t>
      </w:r>
      <w:r>
        <w:rPr>
          <w:rFonts w:hint="eastAsia" w:ascii="仿宋" w:hAnsi="仿宋" w:eastAsia="仿宋" w:cs="仿宋"/>
          <w:sz w:val="32"/>
          <w:szCs w:val="32"/>
        </w:rPr>
        <w:t>。</w:t>
      </w:r>
    </w:p>
    <w:p w14:paraId="253392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w:t>
      </w:r>
    </w:p>
    <w:p w14:paraId="69C2C6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single"/>
        </w:rPr>
        <w:t>无</w:t>
      </w:r>
      <w:r>
        <w:rPr>
          <w:rFonts w:hint="eastAsia" w:ascii="仿宋" w:hAnsi="仿宋" w:eastAsia="仿宋" w:cs="仿宋"/>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D0F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D43D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D43D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A3"/>
    <w:rsid w:val="000D1DBA"/>
    <w:rsid w:val="001650A3"/>
    <w:rsid w:val="0018112B"/>
    <w:rsid w:val="001E14E7"/>
    <w:rsid w:val="00211992"/>
    <w:rsid w:val="002F2D01"/>
    <w:rsid w:val="003A6EBA"/>
    <w:rsid w:val="003B725D"/>
    <w:rsid w:val="00420E6F"/>
    <w:rsid w:val="00560A83"/>
    <w:rsid w:val="00574A5A"/>
    <w:rsid w:val="005B2A62"/>
    <w:rsid w:val="005F27E3"/>
    <w:rsid w:val="00622CA6"/>
    <w:rsid w:val="00631FCC"/>
    <w:rsid w:val="00721AE5"/>
    <w:rsid w:val="007A5E8A"/>
    <w:rsid w:val="007F73CC"/>
    <w:rsid w:val="008A6A47"/>
    <w:rsid w:val="00930BEB"/>
    <w:rsid w:val="009B5EC7"/>
    <w:rsid w:val="009C500C"/>
    <w:rsid w:val="009E48C0"/>
    <w:rsid w:val="00A528B0"/>
    <w:rsid w:val="00AB35E3"/>
    <w:rsid w:val="00AE6B0F"/>
    <w:rsid w:val="00B26574"/>
    <w:rsid w:val="00B34EFE"/>
    <w:rsid w:val="00B67763"/>
    <w:rsid w:val="00BB1592"/>
    <w:rsid w:val="00D65316"/>
    <w:rsid w:val="00E96E6A"/>
    <w:rsid w:val="00EA5E27"/>
    <w:rsid w:val="00F335B5"/>
    <w:rsid w:val="105B1B51"/>
    <w:rsid w:val="12363DC5"/>
    <w:rsid w:val="20AD7070"/>
    <w:rsid w:val="26A33336"/>
    <w:rsid w:val="27437A0A"/>
    <w:rsid w:val="2ED05F44"/>
    <w:rsid w:val="31336B36"/>
    <w:rsid w:val="33A67AE2"/>
    <w:rsid w:val="39477622"/>
    <w:rsid w:val="3C4E4367"/>
    <w:rsid w:val="3D0566C7"/>
    <w:rsid w:val="41F26F61"/>
    <w:rsid w:val="42AA791F"/>
    <w:rsid w:val="48572720"/>
    <w:rsid w:val="4A2B6B97"/>
    <w:rsid w:val="5156444F"/>
    <w:rsid w:val="5214138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firstLine="643" w:firstLineChars="200"/>
      <w:outlineLvl w:val="0"/>
    </w:pPr>
    <w:rPr>
      <w:rFonts w:ascii="Times New Roman" w:hAnsi="Times New Roman" w:eastAsia="黑体" w:cs="Times New Roman"/>
      <w:b/>
      <w:bCs/>
      <w:kern w:val="44"/>
      <w:sz w:val="32"/>
      <w:szCs w:val="44"/>
    </w:rPr>
  </w:style>
  <w:style w:type="paragraph" w:styleId="3">
    <w:name w:val="heading 2"/>
    <w:basedOn w:val="1"/>
    <w:next w:val="1"/>
    <w:unhideWhenUsed/>
    <w:qFormat/>
    <w:uiPriority w:val="0"/>
    <w:pPr>
      <w:keepNext/>
      <w:keepLines/>
      <w:spacing w:beforeLines="0" w:beforeAutospacing="0" w:afterLines="0" w:afterAutospacing="0" w:line="360" w:lineRule="auto"/>
      <w:ind w:firstLine="720" w:firstLineChars="200"/>
      <w:outlineLvl w:val="1"/>
    </w:pPr>
    <w:rPr>
      <w:rFonts w:ascii="楷体" w:hAnsi="楷体" w:eastAsia="楷体" w:cs="Times New Roman"/>
      <w:b/>
      <w:sz w:val="32"/>
      <w:szCs w:val="22"/>
    </w:rPr>
  </w:style>
  <w:style w:type="paragraph" w:styleId="4">
    <w:name w:val="heading 3"/>
    <w:basedOn w:val="1"/>
    <w:next w:val="1"/>
    <w:unhideWhenUsed/>
    <w:qFormat/>
    <w:uiPriority w:val="0"/>
    <w:pPr>
      <w:keepNext/>
      <w:keepLines/>
      <w:spacing w:beforeLines="0" w:beforeAutospacing="0" w:afterLines="0" w:afterAutospacing="0" w:line="360" w:lineRule="auto"/>
      <w:ind w:firstLine="720" w:firstLineChars="200"/>
      <w:outlineLvl w:val="2"/>
    </w:pPr>
    <w:rPr>
      <w:rFonts w:ascii="仿宋" w:hAnsi="仿宋" w:eastAsia="仿宋"/>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964" w:firstLineChars="200"/>
    </w:pPr>
    <w:rPr>
      <w:rFonts w:ascii="Calibri" w:hAnsi="Calibri" w:eastAsia="宋体" w:cs="Times New Roman"/>
    </w:rPr>
  </w:style>
  <w:style w:type="paragraph" w:styleId="6">
    <w:name w:val="Body Text"/>
    <w:basedOn w:val="1"/>
    <w:semiHidden/>
    <w:unhideWhenUsed/>
    <w:qFormat/>
    <w:uiPriority w:val="99"/>
    <w:pPr>
      <w:spacing w:after="120"/>
    </w:pPr>
  </w:style>
  <w:style w:type="paragraph" w:styleId="7">
    <w:name w:val="Body Text Indent"/>
    <w:basedOn w:val="1"/>
    <w:semiHidden/>
    <w:unhideWhenUsed/>
    <w:qFormat/>
    <w:uiPriority w:val="99"/>
    <w:pPr>
      <w:spacing w:after="120"/>
      <w:ind w:left="420" w:leftChars="20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paragraph" w:styleId="10">
    <w:name w:val="Body Text First Indent"/>
    <w:basedOn w:val="6"/>
    <w:semiHidden/>
    <w:unhideWhenUsed/>
    <w:qFormat/>
    <w:uiPriority w:val="99"/>
    <w:pPr>
      <w:ind w:firstLine="420" w:firstLineChars="100"/>
    </w:pPr>
  </w:style>
  <w:style w:type="paragraph" w:styleId="11">
    <w:name w:val="Body Text First Indent 2"/>
    <w:basedOn w:val="7"/>
    <w:next w:val="10"/>
    <w:qFormat/>
    <w:uiPriority w:val="0"/>
    <w:pPr>
      <w:ind w:firstLine="420" w:firstLineChars="200"/>
    </w:pPr>
  </w:style>
  <w:style w:type="character" w:customStyle="1" w:styleId="14">
    <w:name w:val="页眉 字符"/>
    <w:basedOn w:val="13"/>
    <w:link w:val="9"/>
    <w:qFormat/>
    <w:uiPriority w:val="0"/>
    <w:rPr>
      <w:rFonts w:asciiTheme="minorHAnsi" w:hAnsiTheme="minorHAnsi" w:eastAsiaTheme="minorEastAsia" w:cstheme="minorBidi"/>
      <w:kern w:val="2"/>
      <w:sz w:val="18"/>
      <w:szCs w:val="18"/>
    </w:rPr>
  </w:style>
  <w:style w:type="character" w:customStyle="1" w:styleId="15">
    <w:name w:val="页脚 字符"/>
    <w:basedOn w:val="13"/>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2030</Words>
  <Characters>2247</Characters>
  <Lines>16</Lines>
  <Paragraphs>4</Paragraphs>
  <TotalTime>31</TotalTime>
  <ScaleCrop>false</ScaleCrop>
  <LinksUpToDate>false</LinksUpToDate>
  <CharactersWithSpaces>2247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2025-06-25T08:35:00Z</dcterms:created>
  <dc:creator>dell</dc:creator>
  <cp:lastModifiedBy>崔灿</cp:lastModifiedBy>
  <dcterms:modified xsi:type="dcterms:W3CDTF">2025-06-27T07:52:11Z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5BC4FE9145E940F782AD71A593934996_13</vt:lpwstr>
  </property>
  <property fmtid="{D5CDD505-2E9C-101B-9397-08002B2CF9AE}" pid="4" name="KSOTemplateDocerSaveRecord">
    <vt:lpwstr>eyJoZGlkIjoiMGEwZGFiMzhlYWQ5YWJjMTBiNjExNTNhZTA0ZTA0YmYiLCJ1c2VySWQiOiIxMTc2MzU1MTg2In0=</vt:lpwstr>
  </property>
</Properties>
</file>